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C5" w:rsidRPr="004C2439" w:rsidRDefault="001145C5" w:rsidP="001145C5">
      <w:pPr>
        <w:rPr>
          <w:rFonts w:ascii="Arial" w:hAnsi="Arial" w:cs="Arial"/>
          <w:b/>
          <w:sz w:val="20"/>
          <w:szCs w:val="20"/>
        </w:rPr>
      </w:pPr>
      <w:r w:rsidRPr="004C2439">
        <w:rPr>
          <w:rFonts w:ascii="Arial" w:hAnsi="Arial" w:cs="Arial"/>
          <w:b/>
          <w:sz w:val="20"/>
          <w:szCs w:val="20"/>
        </w:rPr>
        <w:t>Registered Employment and Survey on Earnings</w:t>
      </w:r>
    </w:p>
    <w:p w:rsidR="001145C5" w:rsidRPr="001145C5" w:rsidRDefault="001145C5" w:rsidP="001145C5">
      <w:pPr>
        <w:rPr>
          <w:rFonts w:ascii="Arial" w:hAnsi="Arial" w:cs="Arial"/>
          <w:sz w:val="20"/>
          <w:szCs w:val="20"/>
        </w:rPr>
      </w:pPr>
    </w:p>
    <w:p w:rsidR="001145C5" w:rsidRPr="001145C5" w:rsidRDefault="001145C5" w:rsidP="008F3D58">
      <w:pPr>
        <w:rPr>
          <w:rFonts w:ascii="Arial" w:hAnsi="Arial" w:cs="Arial"/>
          <w:sz w:val="20"/>
          <w:szCs w:val="20"/>
        </w:rPr>
      </w:pPr>
      <w:r w:rsidRPr="001145C5">
        <w:rPr>
          <w:rFonts w:ascii="Arial" w:hAnsi="Arial" w:cs="Arial"/>
          <w:sz w:val="20"/>
          <w:szCs w:val="20"/>
        </w:rPr>
        <w:t>The data obtained from these two</w:t>
      </w:r>
      <w:r w:rsidR="004C2439">
        <w:rPr>
          <w:rFonts w:ascii="Arial" w:hAnsi="Arial" w:cs="Arial"/>
          <w:sz w:val="20"/>
          <w:szCs w:val="20"/>
        </w:rPr>
        <w:t xml:space="preserve"> surveys</w:t>
      </w:r>
      <w:r w:rsidRPr="001145C5">
        <w:rPr>
          <w:rFonts w:ascii="Arial" w:hAnsi="Arial" w:cs="Arial"/>
          <w:sz w:val="20"/>
          <w:szCs w:val="20"/>
        </w:rPr>
        <w:t xml:space="preserve"> differ for the following reasons:</w:t>
      </w:r>
    </w:p>
    <w:p w:rsidR="008F3D58" w:rsidRPr="00D639CC" w:rsidRDefault="001145C5" w:rsidP="007748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439">
        <w:rPr>
          <w:rFonts w:ascii="Arial" w:hAnsi="Arial" w:cs="Arial"/>
          <w:sz w:val="20"/>
          <w:szCs w:val="20"/>
        </w:rPr>
        <w:t>The source of data for the survey on re</w:t>
      </w:r>
      <w:r w:rsidR="004C2439" w:rsidRPr="004C2439">
        <w:rPr>
          <w:rFonts w:ascii="Arial" w:hAnsi="Arial" w:cs="Arial"/>
          <w:sz w:val="20"/>
          <w:szCs w:val="20"/>
        </w:rPr>
        <w:t>gistered employment is the CRCSI</w:t>
      </w:r>
      <w:r w:rsidRPr="004C2439">
        <w:rPr>
          <w:rFonts w:ascii="Arial" w:hAnsi="Arial" w:cs="Arial"/>
          <w:sz w:val="20"/>
          <w:szCs w:val="20"/>
        </w:rPr>
        <w:t xml:space="preserve"> database, while the </w:t>
      </w:r>
      <w:r w:rsidR="004C2439" w:rsidRPr="004C2439">
        <w:rPr>
          <w:rFonts w:ascii="Arial" w:hAnsi="Arial" w:cs="Arial"/>
          <w:sz w:val="20"/>
          <w:szCs w:val="20"/>
        </w:rPr>
        <w:t>survey</w:t>
      </w:r>
      <w:r w:rsidRPr="004C2439">
        <w:rPr>
          <w:rFonts w:ascii="Arial" w:hAnsi="Arial" w:cs="Arial"/>
          <w:sz w:val="20"/>
          <w:szCs w:val="20"/>
        </w:rPr>
        <w:t xml:space="preserve"> on earnings is based on the data from the Tax Administration records, (PPP-PD Form Individual Tax Returns on </w:t>
      </w:r>
      <w:r w:rsidR="004C2439" w:rsidRPr="004C2439">
        <w:rPr>
          <w:color w:val="000000"/>
          <w:shd w:val="clear" w:color="auto" w:fill="FFFFFF"/>
        </w:rPr>
        <w:t>Accrued</w:t>
      </w:r>
      <w:r w:rsidRPr="004C2439">
        <w:rPr>
          <w:rFonts w:ascii="Arial" w:hAnsi="Arial" w:cs="Arial"/>
          <w:sz w:val="20"/>
          <w:szCs w:val="20"/>
        </w:rPr>
        <w:t xml:space="preserve"> Taxes and Contributions).</w:t>
      </w:r>
      <w:r w:rsidR="004C2439" w:rsidRPr="004C2439">
        <w:rPr>
          <w:color w:val="000000"/>
          <w:shd w:val="clear" w:color="auto" w:fill="FFFFFF"/>
        </w:rPr>
        <w:t xml:space="preserve"> </w:t>
      </w:r>
    </w:p>
    <w:p w:rsidR="001145C5" w:rsidRPr="004C2439" w:rsidRDefault="001145C5" w:rsidP="007748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439">
        <w:rPr>
          <w:rFonts w:ascii="Arial" w:hAnsi="Arial" w:cs="Arial"/>
          <w:sz w:val="20"/>
          <w:szCs w:val="20"/>
        </w:rPr>
        <w:t xml:space="preserve">Observation units for registered employment are </w:t>
      </w:r>
      <w:r w:rsidR="008F3D58">
        <w:rPr>
          <w:rFonts w:ascii="Arial" w:hAnsi="Arial" w:cs="Arial"/>
          <w:sz w:val="20"/>
          <w:szCs w:val="20"/>
        </w:rPr>
        <w:t xml:space="preserve">the </w:t>
      </w:r>
      <w:r w:rsidR="008F3D58" w:rsidRPr="004C2439">
        <w:rPr>
          <w:rFonts w:ascii="Arial" w:hAnsi="Arial" w:cs="Arial"/>
          <w:sz w:val="20"/>
          <w:szCs w:val="20"/>
        </w:rPr>
        <w:t xml:space="preserve">insured </w:t>
      </w:r>
      <w:r w:rsidR="008F3D58">
        <w:rPr>
          <w:rFonts w:ascii="Arial" w:hAnsi="Arial" w:cs="Arial"/>
          <w:sz w:val="20"/>
          <w:szCs w:val="20"/>
        </w:rPr>
        <w:t xml:space="preserve">in </w:t>
      </w:r>
      <w:r w:rsidRPr="004C2439">
        <w:rPr>
          <w:rFonts w:ascii="Arial" w:hAnsi="Arial" w:cs="Arial"/>
          <w:sz w:val="20"/>
          <w:szCs w:val="20"/>
        </w:rPr>
        <w:t xml:space="preserve">compulsory social security, while in the survey for earnings </w:t>
      </w:r>
      <w:r w:rsidR="008F3D58">
        <w:rPr>
          <w:rFonts w:ascii="Arial" w:hAnsi="Arial" w:cs="Arial"/>
          <w:sz w:val="20"/>
          <w:szCs w:val="20"/>
        </w:rPr>
        <w:t>the</w:t>
      </w:r>
      <w:r w:rsidRPr="004C2439">
        <w:rPr>
          <w:rFonts w:ascii="Arial" w:hAnsi="Arial" w:cs="Arial"/>
          <w:sz w:val="20"/>
          <w:szCs w:val="20"/>
        </w:rPr>
        <w:t xml:space="preserve"> statistical unit</w:t>
      </w:r>
      <w:r w:rsidR="008F3D58">
        <w:rPr>
          <w:rFonts w:ascii="Arial" w:hAnsi="Arial" w:cs="Arial"/>
          <w:sz w:val="20"/>
          <w:szCs w:val="20"/>
        </w:rPr>
        <w:t xml:space="preserve"> is</w:t>
      </w:r>
      <w:r w:rsidRPr="004C2439">
        <w:rPr>
          <w:rFonts w:ascii="Arial" w:hAnsi="Arial" w:cs="Arial"/>
          <w:sz w:val="20"/>
          <w:szCs w:val="20"/>
        </w:rPr>
        <w:t>, each calculated type of income that has the character of earnings and</w:t>
      </w:r>
      <w:r w:rsidR="008F3D58">
        <w:rPr>
          <w:rFonts w:ascii="Arial" w:hAnsi="Arial" w:cs="Arial"/>
          <w:sz w:val="20"/>
          <w:szCs w:val="20"/>
        </w:rPr>
        <w:t xml:space="preserve"> that is</w:t>
      </w:r>
      <w:r w:rsidRPr="004C2439">
        <w:rPr>
          <w:rFonts w:ascii="Arial" w:hAnsi="Arial" w:cs="Arial"/>
          <w:sz w:val="20"/>
          <w:szCs w:val="20"/>
        </w:rPr>
        <w:t xml:space="preserve"> reported by a legal or natural person through the PPP-PD form,</w:t>
      </w:r>
    </w:p>
    <w:p w:rsidR="00265F19" w:rsidRPr="00265F19" w:rsidRDefault="001145C5" w:rsidP="007748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5F19">
        <w:rPr>
          <w:rFonts w:ascii="Arial" w:hAnsi="Arial" w:cs="Arial"/>
          <w:sz w:val="20"/>
          <w:szCs w:val="20"/>
        </w:rPr>
        <w:t xml:space="preserve">The </w:t>
      </w:r>
      <w:r w:rsidR="008F3D58">
        <w:rPr>
          <w:rFonts w:ascii="Arial" w:hAnsi="Arial" w:cs="Arial"/>
          <w:sz w:val="20"/>
          <w:szCs w:val="20"/>
        </w:rPr>
        <w:t>time point</w:t>
      </w:r>
      <w:r w:rsidRPr="00265F19">
        <w:rPr>
          <w:rFonts w:ascii="Arial" w:hAnsi="Arial" w:cs="Arial"/>
          <w:sz w:val="20"/>
          <w:szCs w:val="20"/>
        </w:rPr>
        <w:t xml:space="preserve"> for registered employment is the last working day of the month, while the reference period in the </w:t>
      </w:r>
      <w:r w:rsidR="008F3D58">
        <w:rPr>
          <w:rFonts w:ascii="Arial" w:hAnsi="Arial" w:cs="Arial"/>
          <w:sz w:val="20"/>
          <w:szCs w:val="20"/>
        </w:rPr>
        <w:t>Survey on Earnings</w:t>
      </w:r>
      <w:r w:rsidR="008F3D58" w:rsidRPr="00265F19">
        <w:rPr>
          <w:rFonts w:ascii="Arial" w:hAnsi="Arial" w:cs="Arial"/>
          <w:sz w:val="20"/>
          <w:szCs w:val="20"/>
        </w:rPr>
        <w:t xml:space="preserve"> </w:t>
      </w:r>
      <w:r w:rsidRPr="00265F19">
        <w:rPr>
          <w:rFonts w:ascii="Arial" w:hAnsi="Arial" w:cs="Arial"/>
          <w:sz w:val="20"/>
          <w:szCs w:val="20"/>
        </w:rPr>
        <w:t xml:space="preserve">survey is the month for which the </w:t>
      </w:r>
      <w:r w:rsidR="00265F19">
        <w:rPr>
          <w:rFonts w:ascii="Arial" w:hAnsi="Arial" w:cs="Arial"/>
          <w:sz w:val="20"/>
          <w:szCs w:val="20"/>
        </w:rPr>
        <w:t>earnings are paid. M</w:t>
      </w:r>
      <w:r w:rsidRPr="00265F19">
        <w:rPr>
          <w:rFonts w:ascii="Arial" w:hAnsi="Arial" w:cs="Arial"/>
          <w:sz w:val="20"/>
          <w:szCs w:val="20"/>
        </w:rPr>
        <w:t xml:space="preserve">ore precisely </w:t>
      </w:r>
      <w:r w:rsidR="00265F19" w:rsidRPr="00265F19">
        <w:rPr>
          <w:rFonts w:ascii="Arial" w:hAnsi="Arial" w:cs="Arial"/>
          <w:sz w:val="20"/>
          <w:szCs w:val="20"/>
        </w:rPr>
        <w:t xml:space="preserve">in the calculation of the </w:t>
      </w:r>
      <w:r w:rsidR="00265F19" w:rsidRPr="00265F19">
        <w:rPr>
          <w:color w:val="000000"/>
          <w:shd w:val="clear" w:color="auto" w:fill="FFFFFF"/>
        </w:rPr>
        <w:t>average earnings, all data from tax return forms that are submitted within 45 days after the expiration of the month to which the average earnings relate are included.</w:t>
      </w:r>
    </w:p>
    <w:p w:rsidR="00265F19" w:rsidRDefault="001145C5" w:rsidP="007748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65F19">
        <w:rPr>
          <w:rFonts w:ascii="Arial" w:hAnsi="Arial" w:cs="Arial"/>
          <w:sz w:val="20"/>
          <w:szCs w:val="20"/>
        </w:rPr>
        <w:t xml:space="preserve">Definitions of employment are different. </w:t>
      </w:r>
      <w:proofErr w:type="gramStart"/>
      <w:r w:rsidRPr="00265F19">
        <w:rPr>
          <w:rFonts w:ascii="Arial" w:hAnsi="Arial" w:cs="Arial"/>
          <w:sz w:val="20"/>
          <w:szCs w:val="20"/>
        </w:rPr>
        <w:t xml:space="preserve">In the survey on registered employment, the term employees </w:t>
      </w:r>
      <w:r w:rsidR="008F3D58">
        <w:rPr>
          <w:rFonts w:ascii="Arial" w:hAnsi="Arial" w:cs="Arial"/>
          <w:sz w:val="20"/>
          <w:szCs w:val="20"/>
        </w:rPr>
        <w:t>implies the</w:t>
      </w:r>
      <w:r w:rsidR="008F3D58" w:rsidRPr="00265F19">
        <w:rPr>
          <w:rFonts w:ascii="Arial" w:hAnsi="Arial" w:cs="Arial"/>
          <w:sz w:val="20"/>
          <w:szCs w:val="20"/>
        </w:rPr>
        <w:t xml:space="preserve"> </w:t>
      </w:r>
      <w:r w:rsidRPr="00265F19">
        <w:rPr>
          <w:rFonts w:ascii="Arial" w:hAnsi="Arial" w:cs="Arial"/>
          <w:sz w:val="20"/>
          <w:szCs w:val="20"/>
        </w:rPr>
        <w:t xml:space="preserve">persons who have a formal legal employment contract or a working relationship with an employer for a fixed or indefinite period of time and persons who work out of employment on the basis of a contract of work or on the basis of a contract on the performance of temporary and occasional affairs; persons who perform independent activities or are founders of </w:t>
      </w:r>
      <w:r w:rsidR="008F3D58">
        <w:rPr>
          <w:rFonts w:ascii="Arial" w:hAnsi="Arial" w:cs="Arial"/>
          <w:sz w:val="20"/>
          <w:szCs w:val="20"/>
        </w:rPr>
        <w:t>enterprises</w:t>
      </w:r>
      <w:r w:rsidR="008F3D58" w:rsidRPr="00265F19">
        <w:rPr>
          <w:rFonts w:ascii="Arial" w:hAnsi="Arial" w:cs="Arial"/>
          <w:sz w:val="20"/>
          <w:szCs w:val="20"/>
        </w:rPr>
        <w:t xml:space="preserve"> </w:t>
      </w:r>
      <w:r w:rsidRPr="00265F19">
        <w:rPr>
          <w:rFonts w:ascii="Arial" w:hAnsi="Arial" w:cs="Arial"/>
          <w:sz w:val="20"/>
          <w:szCs w:val="20"/>
        </w:rPr>
        <w:t xml:space="preserve">or entrepreneurial shops; as well as persons performing agricultural activities and </w:t>
      </w:r>
      <w:r w:rsidR="008F3D58">
        <w:rPr>
          <w:rFonts w:ascii="Arial" w:hAnsi="Arial" w:cs="Arial"/>
          <w:sz w:val="20"/>
          <w:szCs w:val="20"/>
        </w:rPr>
        <w:t>being</w:t>
      </w:r>
      <w:r w:rsidR="008F3D58" w:rsidRPr="00265F19">
        <w:rPr>
          <w:rFonts w:ascii="Arial" w:hAnsi="Arial" w:cs="Arial"/>
          <w:sz w:val="20"/>
          <w:szCs w:val="20"/>
        </w:rPr>
        <w:t xml:space="preserve"> </w:t>
      </w:r>
      <w:r w:rsidR="008F3D58">
        <w:rPr>
          <w:rFonts w:ascii="Arial" w:hAnsi="Arial" w:cs="Arial"/>
          <w:sz w:val="20"/>
          <w:szCs w:val="20"/>
        </w:rPr>
        <w:t>reported in</w:t>
      </w:r>
      <w:r w:rsidR="008F3D58" w:rsidRPr="00265F19">
        <w:rPr>
          <w:rFonts w:ascii="Arial" w:hAnsi="Arial" w:cs="Arial"/>
          <w:sz w:val="20"/>
          <w:szCs w:val="20"/>
        </w:rPr>
        <w:t xml:space="preserve"> </w:t>
      </w:r>
      <w:r w:rsidRPr="00265F19">
        <w:rPr>
          <w:rFonts w:ascii="Arial" w:hAnsi="Arial" w:cs="Arial"/>
          <w:sz w:val="20"/>
          <w:szCs w:val="20"/>
        </w:rPr>
        <w:t xml:space="preserve">the register of </w:t>
      </w:r>
      <w:bookmarkStart w:id="0" w:name="_GoBack"/>
      <w:r w:rsidRPr="00265F19">
        <w:rPr>
          <w:rFonts w:ascii="Arial" w:hAnsi="Arial" w:cs="Arial"/>
          <w:sz w:val="20"/>
          <w:szCs w:val="20"/>
        </w:rPr>
        <w:t xml:space="preserve">the </w:t>
      </w:r>
      <w:r w:rsidR="00D639CC">
        <w:rPr>
          <w:rFonts w:ascii="Arial" w:hAnsi="Arial" w:cs="Arial"/>
          <w:sz w:val="20"/>
          <w:szCs w:val="20"/>
        </w:rPr>
        <w:t>CRCSI</w:t>
      </w:r>
      <w:r w:rsidR="00265F19">
        <w:rPr>
          <w:rFonts w:ascii="Arial" w:hAnsi="Arial" w:cs="Arial"/>
          <w:sz w:val="20"/>
          <w:szCs w:val="20"/>
        </w:rPr>
        <w:t xml:space="preserve">, </w:t>
      </w:r>
      <w:r w:rsidR="00265F19" w:rsidRPr="00265F19">
        <w:rPr>
          <w:rFonts w:ascii="Arial" w:hAnsi="Arial" w:cs="Arial"/>
          <w:sz w:val="20"/>
          <w:szCs w:val="20"/>
        </w:rPr>
        <w:t xml:space="preserve">while </w:t>
      </w:r>
      <w:bookmarkEnd w:id="0"/>
      <w:r w:rsidR="00265F19" w:rsidRPr="00265F19">
        <w:rPr>
          <w:rFonts w:ascii="Arial" w:hAnsi="Arial" w:cs="Arial"/>
          <w:sz w:val="20"/>
          <w:szCs w:val="20"/>
        </w:rPr>
        <w:t xml:space="preserve">the </w:t>
      </w:r>
      <w:r w:rsidR="00265F19">
        <w:rPr>
          <w:rFonts w:ascii="Arial" w:hAnsi="Arial" w:cs="Arial"/>
          <w:sz w:val="20"/>
          <w:szCs w:val="20"/>
        </w:rPr>
        <w:t>survey</w:t>
      </w:r>
      <w:r w:rsidR="00265F19" w:rsidRPr="00265F19">
        <w:rPr>
          <w:rFonts w:ascii="Arial" w:hAnsi="Arial" w:cs="Arial"/>
          <w:sz w:val="20"/>
          <w:szCs w:val="20"/>
        </w:rPr>
        <w:t xml:space="preserve"> on earnings observe a narrower set or only those employees who </w:t>
      </w:r>
      <w:r w:rsidR="00265F19">
        <w:rPr>
          <w:rFonts w:ascii="Arial" w:hAnsi="Arial" w:cs="Arial"/>
          <w:sz w:val="20"/>
          <w:szCs w:val="20"/>
        </w:rPr>
        <w:t xml:space="preserve">receive earnings </w:t>
      </w:r>
      <w:r w:rsidR="00265F19" w:rsidRPr="00265F19">
        <w:rPr>
          <w:rFonts w:ascii="Arial" w:hAnsi="Arial" w:cs="Arial"/>
          <w:sz w:val="20"/>
          <w:szCs w:val="20"/>
        </w:rPr>
        <w:t xml:space="preserve">or </w:t>
      </w:r>
      <w:r w:rsidR="00265F19">
        <w:rPr>
          <w:rFonts w:ascii="Arial" w:hAnsi="Arial" w:cs="Arial"/>
          <w:sz w:val="20"/>
          <w:szCs w:val="20"/>
        </w:rPr>
        <w:t xml:space="preserve">remuneration </w:t>
      </w:r>
      <w:r w:rsidR="00265F19" w:rsidRPr="00265F19">
        <w:rPr>
          <w:rFonts w:ascii="Arial" w:hAnsi="Arial" w:cs="Arial"/>
          <w:sz w:val="20"/>
          <w:szCs w:val="20"/>
        </w:rPr>
        <w:t xml:space="preserve"> that have the character of </w:t>
      </w:r>
      <w:r w:rsidR="00265F19">
        <w:rPr>
          <w:rFonts w:ascii="Arial" w:hAnsi="Arial" w:cs="Arial"/>
          <w:sz w:val="20"/>
          <w:szCs w:val="20"/>
        </w:rPr>
        <w:t>earning</w:t>
      </w:r>
      <w:r w:rsidR="00265F19" w:rsidRPr="00265F19">
        <w:rPr>
          <w:rFonts w:ascii="Arial" w:hAnsi="Arial" w:cs="Arial"/>
          <w:sz w:val="20"/>
          <w:szCs w:val="20"/>
        </w:rPr>
        <w:t>.</w:t>
      </w:r>
      <w:proofErr w:type="gramEnd"/>
    </w:p>
    <w:p w:rsidR="00265F19" w:rsidRDefault="00265F19" w:rsidP="00265F1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145C5" w:rsidRDefault="001145C5" w:rsidP="001145C5">
      <w:pPr>
        <w:rPr>
          <w:rFonts w:ascii="Arial" w:hAnsi="Arial" w:cs="Arial"/>
          <w:sz w:val="20"/>
          <w:szCs w:val="20"/>
        </w:rPr>
      </w:pPr>
      <w:r w:rsidRPr="001145C5">
        <w:rPr>
          <w:rFonts w:ascii="Arial" w:hAnsi="Arial" w:cs="Arial"/>
          <w:sz w:val="20"/>
          <w:szCs w:val="20"/>
        </w:rPr>
        <w:t xml:space="preserve">Persons who by definition of registered employment are considered </w:t>
      </w:r>
      <w:r w:rsidR="0049720F">
        <w:rPr>
          <w:rFonts w:ascii="Arial" w:hAnsi="Arial" w:cs="Arial"/>
          <w:sz w:val="20"/>
          <w:szCs w:val="20"/>
        </w:rPr>
        <w:t>as employees who do not receive earnings</w:t>
      </w:r>
      <w:r w:rsidRPr="001145C5">
        <w:rPr>
          <w:rFonts w:ascii="Arial" w:hAnsi="Arial" w:cs="Arial"/>
          <w:sz w:val="20"/>
          <w:szCs w:val="20"/>
        </w:rPr>
        <w:t xml:space="preserve"> can be classified into several of the following categories:</w:t>
      </w:r>
    </w:p>
    <w:tbl>
      <w:tblPr>
        <w:tblW w:w="8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2246"/>
      </w:tblGrid>
      <w:tr w:rsidR="008B2267" w:rsidTr="008B2267">
        <w:trPr>
          <w:trHeight w:val="692"/>
        </w:trPr>
        <w:tc>
          <w:tcPr>
            <w:tcW w:w="616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sz w:val="16"/>
                <w:szCs w:val="16"/>
              </w:rPr>
              <w:t>Number of employed</w:t>
            </w:r>
            <w:r w:rsidRPr="008B2267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¹</w:t>
            </w:r>
          </w:p>
        </w:tc>
      </w:tr>
      <w:tr w:rsidR="008B2267" w:rsidTr="008B2267">
        <w:trPr>
          <w:trHeight w:val="351"/>
        </w:trPr>
        <w:tc>
          <w:tcPr>
            <w:tcW w:w="616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sz w:val="16"/>
                <w:szCs w:val="16"/>
              </w:rPr>
              <w:t>Registered individual</w:t>
            </w:r>
            <w:r w:rsidR="00603603">
              <w:rPr>
                <w:rFonts w:ascii="Arial" w:hAnsi="Arial" w:cs="Arial"/>
                <w:sz w:val="16"/>
                <w:szCs w:val="16"/>
              </w:rPr>
              <w:t xml:space="preserve"> agricultural producers</w:t>
            </w:r>
            <w:r w:rsidRPr="008B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603">
              <w:rPr>
                <w:rFonts w:ascii="Arial" w:hAnsi="Arial" w:cs="Arial"/>
                <w:sz w:val="16"/>
                <w:szCs w:val="16"/>
              </w:rPr>
              <w:t>(</w:t>
            </w:r>
            <w:r w:rsidRPr="008B2267">
              <w:rPr>
                <w:rFonts w:ascii="Arial" w:hAnsi="Arial" w:cs="Arial"/>
                <w:sz w:val="16"/>
                <w:szCs w:val="16"/>
              </w:rPr>
              <w:t>farmers</w:t>
            </w:r>
            <w:r w:rsidR="0060360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sz w:val="16"/>
                <w:szCs w:val="16"/>
              </w:rPr>
              <w:t>≈ 82 000</w:t>
            </w:r>
          </w:p>
        </w:tc>
      </w:tr>
      <w:tr w:rsidR="008B2267" w:rsidTr="008B2267">
        <w:trPr>
          <w:trHeight w:val="346"/>
        </w:trPr>
        <w:tc>
          <w:tcPr>
            <w:tcW w:w="616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Persons who work on the basis of service contract or author contract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sz w:val="16"/>
                <w:szCs w:val="16"/>
              </w:rPr>
              <w:t>≈ 18 000</w:t>
            </w:r>
          </w:p>
        </w:tc>
      </w:tr>
      <w:tr w:rsidR="008B2267" w:rsidTr="008B2267">
        <w:trPr>
          <w:trHeight w:val="351"/>
        </w:trPr>
        <w:tc>
          <w:tcPr>
            <w:tcW w:w="616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sz w:val="16"/>
                <w:szCs w:val="16"/>
              </w:rPr>
              <w:t>Individuals performing self-employed activities, business owners and entrepreneurs who do not work for a salary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sz w:val="16"/>
                <w:szCs w:val="16"/>
              </w:rPr>
              <w:t>≈ 160 000</w:t>
            </w:r>
          </w:p>
        </w:tc>
      </w:tr>
      <w:tr w:rsidR="008B2267" w:rsidTr="008B2267">
        <w:trPr>
          <w:trHeight w:val="351"/>
        </w:trPr>
        <w:tc>
          <w:tcPr>
            <w:tcW w:w="616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sz w:val="16"/>
                <w:szCs w:val="16"/>
              </w:rPr>
              <w:t>Employees on sick leave of over 30 days, maternity leave, absence for child care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267" w:rsidRPr="008B2267" w:rsidRDefault="008B2267" w:rsidP="00F5730D">
            <w:pPr>
              <w:rPr>
                <w:rFonts w:ascii="Arial" w:hAnsi="Arial" w:cs="Arial"/>
                <w:sz w:val="16"/>
                <w:szCs w:val="16"/>
              </w:rPr>
            </w:pPr>
            <w:r w:rsidRPr="008B2267">
              <w:rPr>
                <w:rFonts w:ascii="Arial" w:hAnsi="Arial" w:cs="Arial"/>
                <w:sz w:val="16"/>
                <w:szCs w:val="16"/>
              </w:rPr>
              <w:t>≈ 55 000</w:t>
            </w:r>
          </w:p>
        </w:tc>
      </w:tr>
    </w:tbl>
    <w:p w:rsidR="005D294A" w:rsidRPr="008B2267" w:rsidRDefault="001145C5" w:rsidP="001145C5">
      <w:pPr>
        <w:rPr>
          <w:rFonts w:ascii="Arial" w:hAnsi="Arial" w:cs="Arial"/>
          <w:sz w:val="14"/>
          <w:szCs w:val="14"/>
        </w:rPr>
      </w:pPr>
      <w:r w:rsidRPr="001145C5">
        <w:rPr>
          <w:rFonts w:ascii="Arial" w:hAnsi="Arial" w:cs="Arial"/>
          <w:sz w:val="20"/>
          <w:szCs w:val="20"/>
        </w:rPr>
        <w:t xml:space="preserve">¹ </w:t>
      </w:r>
      <w:r w:rsidRPr="008B2267">
        <w:rPr>
          <w:rFonts w:ascii="Arial" w:hAnsi="Arial" w:cs="Arial"/>
          <w:sz w:val="14"/>
          <w:szCs w:val="14"/>
        </w:rPr>
        <w:t>Comparison of th</w:t>
      </w:r>
      <w:r w:rsidR="008B2267" w:rsidRPr="008B2267">
        <w:rPr>
          <w:rFonts w:ascii="Arial" w:hAnsi="Arial" w:cs="Arial"/>
          <w:sz w:val="14"/>
          <w:szCs w:val="14"/>
        </w:rPr>
        <w:t xml:space="preserve">e number of registered </w:t>
      </w:r>
      <w:r w:rsidR="00590076" w:rsidRPr="008B2267">
        <w:rPr>
          <w:rFonts w:ascii="Arial" w:hAnsi="Arial" w:cs="Arial"/>
          <w:sz w:val="14"/>
          <w:szCs w:val="14"/>
        </w:rPr>
        <w:t>employment</w:t>
      </w:r>
      <w:r w:rsidRPr="008B2267">
        <w:rPr>
          <w:rFonts w:ascii="Arial" w:hAnsi="Arial" w:cs="Arial"/>
          <w:sz w:val="14"/>
          <w:szCs w:val="14"/>
        </w:rPr>
        <w:t xml:space="preserve"> and employees who received earnings was based on data from the Survey on Registere</w:t>
      </w:r>
      <w:r w:rsidR="008B2267" w:rsidRPr="008B2267">
        <w:rPr>
          <w:rFonts w:ascii="Arial" w:hAnsi="Arial" w:cs="Arial"/>
          <w:sz w:val="14"/>
          <w:szCs w:val="14"/>
        </w:rPr>
        <w:t xml:space="preserve">d Employment (based on the CRCSI </w:t>
      </w:r>
      <w:r w:rsidRPr="008B2267">
        <w:rPr>
          <w:rFonts w:ascii="Arial" w:hAnsi="Arial" w:cs="Arial"/>
          <w:sz w:val="14"/>
          <w:szCs w:val="14"/>
        </w:rPr>
        <w:t xml:space="preserve">) and the Survey on Earnings (based on data from the Tax Application Form (PPP-PD Form)) , </w:t>
      </w:r>
      <w:r w:rsidR="008B2267" w:rsidRPr="008B2267">
        <w:rPr>
          <w:rFonts w:ascii="Arial" w:hAnsi="Arial" w:cs="Arial"/>
          <w:sz w:val="14"/>
          <w:szCs w:val="14"/>
        </w:rPr>
        <w:t>as of</w:t>
      </w:r>
      <w:r w:rsidRPr="008B2267">
        <w:rPr>
          <w:rFonts w:ascii="Arial" w:hAnsi="Arial" w:cs="Arial"/>
          <w:sz w:val="14"/>
          <w:szCs w:val="14"/>
        </w:rPr>
        <w:t xml:space="preserve"> January 2018.</w:t>
      </w:r>
    </w:p>
    <w:sectPr w:rsidR="005D294A" w:rsidRPr="008B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5177"/>
    <w:multiLevelType w:val="hybridMultilevel"/>
    <w:tmpl w:val="3B8A9B38"/>
    <w:lvl w:ilvl="0" w:tplc="D8109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4A35"/>
    <w:multiLevelType w:val="hybridMultilevel"/>
    <w:tmpl w:val="503A5976"/>
    <w:lvl w:ilvl="0" w:tplc="70D880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C5"/>
    <w:rsid w:val="001145C5"/>
    <w:rsid w:val="00265F19"/>
    <w:rsid w:val="0049720F"/>
    <w:rsid w:val="004C2439"/>
    <w:rsid w:val="00590076"/>
    <w:rsid w:val="005D294A"/>
    <w:rsid w:val="00603603"/>
    <w:rsid w:val="0077486C"/>
    <w:rsid w:val="008B2267"/>
    <w:rsid w:val="008F3D58"/>
    <w:rsid w:val="00A90153"/>
    <w:rsid w:val="00C054B3"/>
    <w:rsid w:val="00D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130D"/>
  <w15:docId w15:val="{626154BC-1111-4DA9-A7DD-326059D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3945-4EF4-4408-8733-0D046039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2</cp:revision>
  <dcterms:created xsi:type="dcterms:W3CDTF">2018-07-31T11:49:00Z</dcterms:created>
  <dcterms:modified xsi:type="dcterms:W3CDTF">2018-07-31T11:49:00Z</dcterms:modified>
</cp:coreProperties>
</file>