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A1" w:rsidRPr="00F613A1" w:rsidRDefault="00F613A1" w:rsidP="00F613A1">
      <w:pPr>
        <w:rPr>
          <w:rFonts w:ascii="Arial" w:hAnsi="Arial" w:cs="Arial"/>
          <w:b/>
        </w:rPr>
      </w:pPr>
      <w:r w:rsidRPr="00F613A1">
        <w:rPr>
          <w:rFonts w:ascii="Arial" w:hAnsi="Arial" w:cs="Arial"/>
          <w:b/>
        </w:rPr>
        <w:t xml:space="preserve">Coherence with average wages and salaries from the </w:t>
      </w:r>
      <w:proofErr w:type="spellStart"/>
      <w:proofErr w:type="gramStart"/>
      <w:r w:rsidRPr="00F613A1">
        <w:rPr>
          <w:rFonts w:ascii="Arial" w:hAnsi="Arial" w:cs="Arial"/>
          <w:b/>
          <w:color w:val="000000"/>
          <w:shd w:val="clear" w:color="auto" w:fill="FFFFFF"/>
        </w:rPr>
        <w:t>The</w:t>
      </w:r>
      <w:proofErr w:type="spellEnd"/>
      <w:proofErr w:type="gramEnd"/>
      <w:r w:rsidRPr="00F613A1">
        <w:rPr>
          <w:rFonts w:ascii="Arial" w:hAnsi="Arial" w:cs="Arial"/>
          <w:b/>
          <w:color w:val="000000"/>
          <w:shd w:val="clear" w:color="auto" w:fill="FFFFFF"/>
        </w:rPr>
        <w:t xml:space="preserve"> survey on earnings</w:t>
      </w:r>
    </w:p>
    <w:p w:rsidR="00F613A1" w:rsidRPr="00F613A1" w:rsidRDefault="00F613A1" w:rsidP="00F613A1">
      <w:pPr>
        <w:ind w:firstLine="720"/>
        <w:rPr>
          <w:rFonts w:ascii="Arial" w:hAnsi="Arial" w:cs="Arial"/>
          <w:b/>
          <w:sz w:val="20"/>
          <w:szCs w:val="20"/>
          <w:lang w:val="sr-Cyrl-RS"/>
        </w:rPr>
      </w:pPr>
    </w:p>
    <w:p w:rsidR="00F613A1" w:rsidRPr="00F613A1" w:rsidRDefault="00F613A1" w:rsidP="000F7AD4">
      <w:pPr>
        <w:rPr>
          <w:rFonts w:ascii="Arial" w:hAnsi="Arial" w:cs="Arial"/>
          <w:sz w:val="20"/>
          <w:szCs w:val="20"/>
          <w:shd w:val="clear" w:color="auto" w:fill="FFFFFF"/>
        </w:rPr>
      </w:pPr>
      <w:r w:rsidRPr="00F613A1">
        <w:rPr>
          <w:rFonts w:ascii="Arial" w:hAnsi="Arial" w:cs="Arial"/>
          <w:sz w:val="20"/>
          <w:szCs w:val="20"/>
          <w:shd w:val="clear" w:color="auto" w:fill="FFFFFF"/>
        </w:rPr>
        <w:t xml:space="preserve">Differences between variable D11 - Wages and salaries and gross wages and salaries from </w:t>
      </w:r>
      <w:proofErr w:type="gramStart"/>
      <w:r w:rsidRPr="00F613A1">
        <w:rPr>
          <w:rFonts w:ascii="Arial" w:hAnsi="Arial" w:cs="Arial"/>
          <w:color w:val="000000"/>
          <w:sz w:val="20"/>
          <w:szCs w:val="20"/>
          <w:shd w:val="clear" w:color="auto" w:fill="FFFFFF"/>
        </w:rPr>
        <w:t>The</w:t>
      </w:r>
      <w:proofErr w:type="gramEnd"/>
      <w:r w:rsidRPr="00F613A1">
        <w:rPr>
          <w:rFonts w:ascii="Arial" w:hAnsi="Arial" w:cs="Arial"/>
          <w:color w:val="000000"/>
          <w:sz w:val="20"/>
          <w:szCs w:val="20"/>
          <w:shd w:val="clear" w:color="auto" w:fill="FFFFFF"/>
        </w:rPr>
        <w:t xml:space="preserve"> survey on earnings</w:t>
      </w:r>
      <w:r w:rsidRPr="00F613A1">
        <w:rPr>
          <w:rFonts w:ascii="Arial" w:hAnsi="Arial" w:cs="Arial"/>
          <w:sz w:val="20"/>
          <w:szCs w:val="20"/>
          <w:shd w:val="clear" w:color="auto" w:fill="FFFFFF"/>
        </w:rPr>
        <w:t xml:space="preserve"> can be explained by differences in methodology, i.e. definitions and coverage of the survey.</w:t>
      </w:r>
    </w:p>
    <w:p w:rsidR="00F613A1" w:rsidRPr="00F613A1" w:rsidRDefault="00F613A1" w:rsidP="000F7AD4">
      <w:pPr>
        <w:spacing w:after="0" w:line="240" w:lineRule="auto"/>
        <w:rPr>
          <w:rFonts w:ascii="Arial" w:eastAsia="Times New Roman" w:hAnsi="Arial" w:cs="Arial"/>
          <w:sz w:val="20"/>
          <w:szCs w:val="20"/>
          <w:shd w:val="clear" w:color="auto" w:fill="FFFFFF"/>
          <w:lang w:val="ru-RU"/>
        </w:rPr>
      </w:pPr>
    </w:p>
    <w:p w:rsidR="00F613A1" w:rsidRPr="004027E7" w:rsidRDefault="00F613A1" w:rsidP="000F7AD4">
      <w:pPr>
        <w:numPr>
          <w:ilvl w:val="0"/>
          <w:numId w:val="1"/>
        </w:numPr>
        <w:spacing w:after="0" w:line="240" w:lineRule="auto"/>
        <w:ind w:left="0" w:firstLine="0"/>
        <w:rPr>
          <w:rFonts w:ascii="Arial" w:eastAsia="Times New Roman" w:hAnsi="Arial" w:cs="Arial"/>
          <w:sz w:val="20"/>
          <w:szCs w:val="20"/>
          <w:shd w:val="clear" w:color="auto" w:fill="FFFFFF"/>
          <w:lang w:val="sr-Cyrl-RS"/>
        </w:rPr>
      </w:pPr>
      <w:r w:rsidRPr="00F613A1">
        <w:rPr>
          <w:rFonts w:ascii="Arial" w:eastAsia="Times New Roman" w:hAnsi="Arial" w:cs="Arial"/>
          <w:b/>
          <w:sz w:val="20"/>
          <w:szCs w:val="20"/>
          <w:shd w:val="clear" w:color="auto" w:fill="FFFFFF"/>
          <w:lang w:val="sr-Cyrl-RS"/>
        </w:rPr>
        <w:t xml:space="preserve">Definitions of </w:t>
      </w:r>
      <w:r w:rsidRPr="00F613A1">
        <w:rPr>
          <w:rFonts w:ascii="Arial" w:eastAsia="Times New Roman" w:hAnsi="Arial" w:cs="Arial"/>
          <w:b/>
          <w:sz w:val="20"/>
          <w:szCs w:val="20"/>
          <w:shd w:val="clear" w:color="auto" w:fill="FFFFFF"/>
        </w:rPr>
        <w:t xml:space="preserve">the </w:t>
      </w:r>
      <w:r w:rsidRPr="00F613A1">
        <w:rPr>
          <w:rFonts w:ascii="Arial" w:eastAsia="Times New Roman" w:hAnsi="Arial" w:cs="Arial"/>
          <w:b/>
          <w:sz w:val="20"/>
          <w:szCs w:val="20"/>
          <w:shd w:val="clear" w:color="auto" w:fill="FFFFFF"/>
          <w:lang w:val="sr-Cyrl-RS"/>
        </w:rPr>
        <w:t>variables being compared.</w:t>
      </w:r>
    </w:p>
    <w:p w:rsidR="00FB6C3B" w:rsidRPr="0089432C" w:rsidRDefault="00FB6C3B" w:rsidP="000F7AD4">
      <w:pPr>
        <w:pStyle w:val="Pasus"/>
        <w:numPr>
          <w:ilvl w:val="1"/>
          <w:numId w:val="1"/>
        </w:numPr>
        <w:ind w:left="0" w:firstLine="0"/>
        <w:rPr>
          <w:shd w:val="clear" w:color="auto" w:fill="FFFFFF"/>
          <w:lang w:val="sr-Cyrl-RS"/>
        </w:rPr>
      </w:pPr>
      <w:r w:rsidRPr="00F936DF">
        <w:rPr>
          <w:color w:val="000000"/>
          <w:shd w:val="clear" w:color="auto" w:fill="FFFFFF"/>
        </w:rPr>
        <w:t>The survey on earnings</w:t>
      </w:r>
      <w:r w:rsidRPr="0089432C">
        <w:rPr>
          <w:lang w:val="en-US"/>
        </w:rPr>
        <w:t xml:space="preserve">, (gross) </w:t>
      </w:r>
      <w:r w:rsidRPr="0089432C">
        <w:rPr>
          <w:bCs/>
          <w:iCs/>
        </w:rPr>
        <w:t xml:space="preserve">wages and salaries, </w:t>
      </w:r>
      <w:r w:rsidRPr="0089432C">
        <w:t xml:space="preserve">as laid down in Article 105 of the Law on Labour, are wages and salaries including taxes and contributions payable from the </w:t>
      </w:r>
      <w:r w:rsidRPr="0089432C">
        <w:rPr>
          <w:lang w:val="en-US"/>
        </w:rPr>
        <w:t>earnings/</w:t>
      </w:r>
      <w:r w:rsidRPr="0089432C">
        <w:t>wages and salaries realised by the employees for work done during the working time, then enhanced wages and salaries, remunerations and other income (except:</w:t>
      </w:r>
      <w:r w:rsidRPr="0089432C">
        <w:rPr>
          <w:shd w:val="clear" w:color="auto" w:fill="FFFFFF"/>
          <w:lang w:val="sr-Cyrl-RS"/>
        </w:rPr>
        <w:t xml:space="preserve"> allowances for travel costs</w:t>
      </w:r>
      <w:r w:rsidRPr="0089432C">
        <w:rPr>
          <w:shd w:val="clear" w:color="auto" w:fill="FFFFFF"/>
          <w:lang w:val="en-US"/>
        </w:rPr>
        <w:t xml:space="preserve"> </w:t>
      </w:r>
      <w:r w:rsidRPr="0089432C">
        <w:rPr>
          <w:shd w:val="clear" w:color="auto" w:fill="FFFFFF"/>
          <w:lang w:val="sr-Cyrl-RS"/>
        </w:rPr>
        <w:t>to and from work</w:t>
      </w:r>
      <w:r w:rsidRPr="0089432C">
        <w:t>, for time spent on business trips in the country or abroad, retirement severance pay, solidarity aid, jubilees, funeral costs and compensations for occupational injuries or disease).</w:t>
      </w:r>
    </w:p>
    <w:p w:rsidR="00FB6C3B" w:rsidRPr="0089432C" w:rsidRDefault="00FB6C3B" w:rsidP="000F7AD4">
      <w:pPr>
        <w:pStyle w:val="Pasus"/>
        <w:numPr>
          <w:ilvl w:val="1"/>
          <w:numId w:val="1"/>
        </w:numPr>
        <w:ind w:left="0" w:firstLine="0"/>
        <w:rPr>
          <w:sz w:val="24"/>
          <w:shd w:val="clear" w:color="auto" w:fill="FFFFFF"/>
          <w:lang w:val="sr-Cyrl-RS"/>
        </w:rPr>
      </w:pPr>
      <w:r w:rsidRPr="0089432C">
        <w:rPr>
          <w:shd w:val="clear" w:color="auto" w:fill="FFFFFF"/>
        </w:rPr>
        <w:t xml:space="preserve">Wages and salaries </w:t>
      </w:r>
      <w:r w:rsidRPr="0089432C">
        <w:rPr>
          <w:shd w:val="clear" w:color="auto" w:fill="FFFFFF"/>
          <w:lang w:val="en-US"/>
        </w:rPr>
        <w:t>(</w:t>
      </w:r>
      <w:r w:rsidRPr="0089432C">
        <w:rPr>
          <w:shd w:val="clear" w:color="auto" w:fill="FFFFFF"/>
        </w:rPr>
        <w:t>D11</w:t>
      </w:r>
      <w:r w:rsidRPr="0089432C">
        <w:rPr>
          <w:shd w:val="clear" w:color="auto" w:fill="FFFFFF"/>
          <w:lang w:val="en-US"/>
        </w:rPr>
        <w:t xml:space="preserve">) </w:t>
      </w:r>
      <w:r>
        <w:rPr>
          <w:shd w:val="clear" w:color="auto" w:fill="FFFFFF"/>
          <w:lang w:val="en-US"/>
        </w:rPr>
        <w:t>have a</w:t>
      </w:r>
      <w:r w:rsidRPr="0089432C">
        <w:rPr>
          <w:shd w:val="clear" w:color="auto" w:fill="FFFFFF"/>
          <w:lang w:val="en-US"/>
        </w:rPr>
        <w:t xml:space="preserve"> broader definition and, unlike (gross) wages and salaries defined by </w:t>
      </w:r>
      <w:r w:rsidR="00B93C15" w:rsidRPr="00F613A1">
        <w:rPr>
          <w:color w:val="000000"/>
          <w:shd w:val="clear" w:color="auto" w:fill="FFFFFF"/>
        </w:rPr>
        <w:t>The survey on earnings</w:t>
      </w:r>
      <w:r w:rsidRPr="0089432C">
        <w:rPr>
          <w:shd w:val="clear" w:color="auto" w:fill="FFFFFF"/>
          <w:lang w:val="en-US"/>
        </w:rPr>
        <w:t xml:space="preserve">, also include allowances for </w:t>
      </w:r>
      <w:r w:rsidRPr="0089432C">
        <w:rPr>
          <w:shd w:val="clear" w:color="auto" w:fill="FFFFFF"/>
          <w:lang w:val="sr-Cyrl-RS"/>
        </w:rPr>
        <w:t>employees' travel costs to and from work</w:t>
      </w:r>
      <w:r w:rsidRPr="0089432C">
        <w:rPr>
          <w:shd w:val="clear" w:color="auto" w:fill="FFFFFF"/>
          <w:lang w:val="en-US"/>
        </w:rPr>
        <w:t xml:space="preserve"> </w:t>
      </w:r>
      <w:r w:rsidRPr="0089432C">
        <w:rPr>
          <w:shd w:val="clear" w:color="auto" w:fill="FFFFFF"/>
          <w:lang w:val="sr-Cyrl-RS"/>
        </w:rPr>
        <w:t>if they are</w:t>
      </w:r>
      <w:r w:rsidRPr="0089432C">
        <w:rPr>
          <w:shd w:val="clear" w:color="auto" w:fill="FFFFFF"/>
          <w:lang w:val="en-US"/>
        </w:rPr>
        <w:t xml:space="preserve"> </w:t>
      </w:r>
      <w:r w:rsidRPr="0089432C">
        <w:rPr>
          <w:shd w:val="clear" w:color="auto" w:fill="FFFFFF"/>
          <w:lang w:val="sr-Cyrl-RS"/>
        </w:rPr>
        <w:t>cash transactions paid in each pay period</w:t>
      </w:r>
      <w:r w:rsidRPr="0089432C">
        <w:rPr>
          <w:shd w:val="clear" w:color="auto" w:fill="FFFFFF"/>
          <w:lang w:val="en-US"/>
        </w:rPr>
        <w:t xml:space="preserve">, </w:t>
      </w:r>
      <w:r w:rsidRPr="0089432C">
        <w:t>jubilee awards</w:t>
      </w:r>
      <w:r w:rsidRPr="0089432C">
        <w:rPr>
          <w:lang w:val="en-US"/>
        </w:rPr>
        <w:t>, cost-of-living allowance, stock options and share purchase</w:t>
      </w:r>
      <w:r w:rsidRPr="0089432C">
        <w:t xml:space="preserve"> </w:t>
      </w:r>
      <w:r w:rsidRPr="0089432C">
        <w:rPr>
          <w:lang w:val="en-US"/>
        </w:rPr>
        <w:t>schemes, payments in kind and other payments to employees which are not regarded as earnings, such as gifts for children of employees (up to 15 years old for Christmas and New Year) in value up to non-taxable amount which are excluded from earnings (gifts on March 8</w:t>
      </w:r>
      <w:r w:rsidRPr="0089432C">
        <w:rPr>
          <w:vertAlign w:val="superscript"/>
          <w:lang w:val="en-US"/>
        </w:rPr>
        <w:t>th</w:t>
      </w:r>
      <w:r w:rsidRPr="0089432C">
        <w:rPr>
          <w:lang w:val="en-US"/>
        </w:rPr>
        <w:t xml:space="preserve"> and other holidays, gifts for children over 15 years old, etc.) </w:t>
      </w:r>
      <w:proofErr w:type="gramStart"/>
      <w:r w:rsidRPr="0089432C">
        <w:rPr>
          <w:lang w:val="en-US"/>
        </w:rPr>
        <w:t>and</w:t>
      </w:r>
      <w:proofErr w:type="gramEnd"/>
      <w:r w:rsidRPr="0089432C">
        <w:rPr>
          <w:lang w:val="en-US"/>
        </w:rPr>
        <w:t xml:space="preserve"> all other cost allowances which are excluded from earnings. In addition, given the different definition of employees, remuneration for performing temporary and occasional jobs is also included. On the other hand, </w:t>
      </w:r>
      <w:r w:rsidRPr="0089432C">
        <w:t xml:space="preserve">allowance </w:t>
      </w:r>
      <w:r w:rsidRPr="0089432C">
        <w:rPr>
          <w:lang w:val="en-US"/>
        </w:rPr>
        <w:t>for sick leave/</w:t>
      </w:r>
      <w:r w:rsidRPr="0089432C">
        <w:t>for the period of absence from work due to temporary inability to wor</w:t>
      </w:r>
      <w:r w:rsidRPr="0089432C">
        <w:rPr>
          <w:lang w:val="en-US"/>
        </w:rPr>
        <w:t xml:space="preserve">k up to 30 days, which is included in gross wages and salaries in </w:t>
      </w:r>
      <w:proofErr w:type="gramStart"/>
      <w:r w:rsidR="00B93C15" w:rsidRPr="00F613A1">
        <w:rPr>
          <w:color w:val="000000"/>
          <w:shd w:val="clear" w:color="auto" w:fill="FFFFFF"/>
        </w:rPr>
        <w:t>The</w:t>
      </w:r>
      <w:proofErr w:type="gramEnd"/>
      <w:r w:rsidR="00B93C15" w:rsidRPr="00F613A1">
        <w:rPr>
          <w:color w:val="000000"/>
          <w:shd w:val="clear" w:color="auto" w:fill="FFFFFF"/>
        </w:rPr>
        <w:t xml:space="preserve"> survey on earnings</w:t>
      </w:r>
      <w:r w:rsidRPr="0089432C">
        <w:rPr>
          <w:lang w:val="en-US"/>
        </w:rPr>
        <w:t xml:space="preserve">, in LCS it is regarded as </w:t>
      </w:r>
      <w:r w:rsidRPr="0089432C">
        <w:rPr>
          <w:szCs w:val="16"/>
        </w:rPr>
        <w:t>employers' imputed social contributions</w:t>
      </w:r>
      <w:r w:rsidRPr="0089432C">
        <w:rPr>
          <w:szCs w:val="16"/>
          <w:lang w:val="en-US"/>
        </w:rPr>
        <w:t xml:space="preserve"> (D122).</w:t>
      </w:r>
    </w:p>
    <w:p w:rsidR="00F613A1" w:rsidRPr="00F613A1" w:rsidRDefault="00F613A1" w:rsidP="000F7AD4">
      <w:pPr>
        <w:spacing w:after="0" w:line="240" w:lineRule="auto"/>
        <w:rPr>
          <w:rFonts w:ascii="Arial" w:eastAsia="Times New Roman" w:hAnsi="Arial" w:cs="Arial"/>
          <w:sz w:val="24"/>
          <w:szCs w:val="20"/>
          <w:shd w:val="clear" w:color="auto" w:fill="FFFFFF"/>
          <w:lang w:val="sr-Cyrl-RS"/>
        </w:rPr>
      </w:pPr>
    </w:p>
    <w:p w:rsidR="00F613A1" w:rsidRPr="004027E7" w:rsidRDefault="00F613A1" w:rsidP="000F7AD4">
      <w:pPr>
        <w:numPr>
          <w:ilvl w:val="0"/>
          <w:numId w:val="1"/>
        </w:numPr>
        <w:spacing w:after="0" w:line="240" w:lineRule="auto"/>
        <w:ind w:left="0" w:firstLine="0"/>
        <w:rPr>
          <w:rFonts w:ascii="Arial" w:hAnsi="Arial" w:cs="Arial"/>
          <w:b/>
          <w:sz w:val="20"/>
          <w:szCs w:val="20"/>
          <w:shd w:val="clear" w:color="auto" w:fill="FFFFFF"/>
          <w:lang w:val="sr-Cyrl-RS"/>
        </w:rPr>
      </w:pPr>
      <w:r w:rsidRPr="00F613A1">
        <w:rPr>
          <w:rFonts w:ascii="Arial" w:hAnsi="Arial" w:cs="Arial"/>
          <w:b/>
          <w:sz w:val="20"/>
          <w:szCs w:val="20"/>
          <w:shd w:val="clear" w:color="auto" w:fill="FFFFFF"/>
        </w:rPr>
        <w:t>Coverage of the survey and sample methodology.</w:t>
      </w:r>
    </w:p>
    <w:p w:rsidR="004027E7" w:rsidRPr="00F613A1" w:rsidRDefault="004027E7" w:rsidP="000F7AD4">
      <w:pPr>
        <w:spacing w:after="0" w:line="240" w:lineRule="auto"/>
        <w:rPr>
          <w:rFonts w:ascii="Arial" w:hAnsi="Arial" w:cs="Arial"/>
          <w:b/>
          <w:sz w:val="20"/>
          <w:szCs w:val="20"/>
          <w:shd w:val="clear" w:color="auto" w:fill="FFFFFF"/>
          <w:lang w:val="sr-Cyrl-RS"/>
        </w:rPr>
      </w:pPr>
    </w:p>
    <w:p w:rsidR="00FB6C3B" w:rsidRPr="00F936DF" w:rsidRDefault="00FB6C3B" w:rsidP="000F7AD4">
      <w:pPr>
        <w:numPr>
          <w:ilvl w:val="1"/>
          <w:numId w:val="1"/>
        </w:numPr>
        <w:spacing w:after="0" w:line="240" w:lineRule="auto"/>
        <w:ind w:left="0" w:firstLine="0"/>
        <w:rPr>
          <w:rFonts w:ascii="Arial" w:eastAsia="Times New Roman" w:hAnsi="Arial" w:cs="Arial"/>
          <w:sz w:val="20"/>
          <w:szCs w:val="20"/>
          <w:shd w:val="clear" w:color="auto" w:fill="FFFFFF"/>
          <w:lang w:val="sr-Cyrl-RS"/>
        </w:rPr>
      </w:pPr>
      <w:r w:rsidRPr="00F936DF">
        <w:rPr>
          <w:rFonts w:ascii="Arial" w:hAnsi="Arial" w:cs="Arial"/>
          <w:color w:val="000000"/>
          <w:sz w:val="20"/>
          <w:szCs w:val="20"/>
          <w:shd w:val="clear" w:color="auto" w:fill="FFFFFF"/>
        </w:rPr>
        <w:t xml:space="preserve">The survey on earnings </w:t>
      </w:r>
      <w:proofErr w:type="gramStart"/>
      <w:r w:rsidRPr="00F936DF">
        <w:rPr>
          <w:rFonts w:ascii="Arial" w:hAnsi="Arial" w:cs="Arial"/>
          <w:color w:val="000000"/>
          <w:sz w:val="20"/>
          <w:szCs w:val="20"/>
          <w:shd w:val="clear" w:color="auto" w:fill="FFFFFF"/>
        </w:rPr>
        <w:t>is based</w:t>
      </w:r>
      <w:proofErr w:type="gramEnd"/>
      <w:r w:rsidRPr="00F936DF">
        <w:rPr>
          <w:rFonts w:ascii="Arial" w:hAnsi="Arial" w:cs="Arial"/>
          <w:color w:val="000000"/>
          <w:sz w:val="20"/>
          <w:szCs w:val="20"/>
          <w:shd w:val="clear" w:color="auto" w:fill="FFFFFF"/>
        </w:rPr>
        <w:t xml:space="preserve"> on data from the Tax Administration records, from the Individual tax return on accrued taxes and contributions (PPP-PD form).</w:t>
      </w:r>
    </w:p>
    <w:p w:rsidR="00FB6C3B" w:rsidRPr="00F936DF" w:rsidRDefault="00FB6C3B" w:rsidP="000F7AD4">
      <w:pPr>
        <w:spacing w:after="0" w:line="240" w:lineRule="auto"/>
        <w:rPr>
          <w:rFonts w:ascii="Arial" w:hAnsi="Arial" w:cs="Arial"/>
          <w:color w:val="000000"/>
          <w:sz w:val="20"/>
          <w:szCs w:val="20"/>
          <w:shd w:val="clear" w:color="auto" w:fill="FFFFFF"/>
        </w:rPr>
      </w:pPr>
      <w:r w:rsidRPr="00F936DF">
        <w:rPr>
          <w:rFonts w:ascii="Arial" w:hAnsi="Arial" w:cs="Arial"/>
          <w:color w:val="000000"/>
          <w:sz w:val="20"/>
          <w:szCs w:val="20"/>
          <w:shd w:val="clear" w:color="auto" w:fill="FFFFFF"/>
        </w:rPr>
        <w:t xml:space="preserve">Average earnings are calculated </w:t>
      </w:r>
      <w:proofErr w:type="gramStart"/>
      <w:r w:rsidRPr="00F936DF">
        <w:rPr>
          <w:rFonts w:ascii="Arial" w:hAnsi="Arial" w:cs="Arial"/>
          <w:color w:val="000000"/>
          <w:sz w:val="20"/>
          <w:szCs w:val="20"/>
          <w:shd w:val="clear" w:color="auto" w:fill="FFFFFF"/>
        </w:rPr>
        <w:t>on the basis of</w:t>
      </w:r>
      <w:proofErr w:type="gramEnd"/>
      <w:r w:rsidRPr="00F936DF">
        <w:rPr>
          <w:rFonts w:ascii="Arial" w:hAnsi="Arial" w:cs="Arial"/>
          <w:color w:val="000000"/>
          <w:sz w:val="20"/>
          <w:szCs w:val="20"/>
          <w:shd w:val="clear" w:color="auto" w:fill="FFFFFF"/>
        </w:rPr>
        <w:t xml:space="preserve"> the total amount of accrued salaries and wages </w:t>
      </w:r>
      <w:r>
        <w:rPr>
          <w:rFonts w:ascii="Arial" w:hAnsi="Arial" w:cs="Arial"/>
          <w:color w:val="000000"/>
          <w:sz w:val="20"/>
          <w:szCs w:val="20"/>
          <w:shd w:val="clear" w:color="auto" w:fill="FFFFFF"/>
        </w:rPr>
        <w:t xml:space="preserve">  </w:t>
      </w:r>
      <w:r w:rsidRPr="00F936DF">
        <w:rPr>
          <w:rFonts w:ascii="Arial" w:hAnsi="Arial" w:cs="Arial"/>
          <w:color w:val="000000"/>
          <w:sz w:val="20"/>
          <w:szCs w:val="20"/>
          <w:shd w:val="clear" w:color="auto" w:fill="FFFFFF"/>
        </w:rPr>
        <w:t>for the reporting month and the number of full-time equivalent (FTE) employees.</w:t>
      </w:r>
    </w:p>
    <w:p w:rsidR="00FB6C3B" w:rsidRPr="00F613A1" w:rsidRDefault="00FB6C3B" w:rsidP="000F7AD4">
      <w:pPr>
        <w:spacing w:after="0" w:line="240" w:lineRule="auto"/>
        <w:rPr>
          <w:rFonts w:ascii="Arial" w:eastAsia="Times New Roman" w:hAnsi="Arial" w:cs="Arial"/>
          <w:sz w:val="20"/>
          <w:szCs w:val="20"/>
          <w:shd w:val="clear" w:color="auto" w:fill="FFFFFF"/>
          <w:lang w:val="sr-Cyrl-RS"/>
        </w:rPr>
      </w:pPr>
      <w:r w:rsidRPr="00F936DF">
        <w:rPr>
          <w:rFonts w:ascii="Arial" w:hAnsi="Arial" w:cs="Arial"/>
          <w:color w:val="000000"/>
          <w:sz w:val="20"/>
          <w:szCs w:val="20"/>
          <w:shd w:val="clear" w:color="auto" w:fill="FFFFFF"/>
        </w:rPr>
        <w:t>All business entities from the Statistical Business Register (SBR) that submitted an electronically filled-in tax return form (PPP-PD form) with accrued salaries and wages to the Tax Administration are included in the survey.</w:t>
      </w:r>
    </w:p>
    <w:p w:rsidR="00F613A1" w:rsidRPr="00F613A1" w:rsidRDefault="00F613A1" w:rsidP="000F7AD4">
      <w:pPr>
        <w:numPr>
          <w:ilvl w:val="1"/>
          <w:numId w:val="1"/>
        </w:numPr>
        <w:spacing w:after="0" w:line="240" w:lineRule="auto"/>
        <w:ind w:left="0" w:firstLine="0"/>
        <w:rPr>
          <w:rFonts w:ascii="Arial" w:hAnsi="Arial" w:cs="Arial"/>
          <w:sz w:val="20"/>
          <w:szCs w:val="20"/>
          <w:shd w:val="clear" w:color="auto" w:fill="FFFFFF"/>
          <w:lang w:val="sr-Cyrl-RS"/>
        </w:rPr>
      </w:pPr>
      <w:r w:rsidRPr="00F613A1">
        <w:rPr>
          <w:rFonts w:ascii="Arial" w:eastAsia="Times New Roman" w:hAnsi="Arial" w:cs="Arial"/>
          <w:sz w:val="20"/>
          <w:szCs w:val="20"/>
          <w:shd w:val="clear" w:color="auto" w:fill="FFFFFF"/>
        </w:rPr>
        <w:t xml:space="preserve">LCS is a survey based on the random sample, which includes </w:t>
      </w:r>
      <w:r w:rsidRPr="00F613A1">
        <w:rPr>
          <w:rFonts w:ascii="Arial" w:eastAsia="Times New Roman" w:hAnsi="Arial" w:cs="Arial"/>
          <w:sz w:val="20"/>
          <w:szCs w:val="20"/>
        </w:rPr>
        <w:t>enterprises</w:t>
      </w:r>
      <w:r w:rsidRPr="00F613A1">
        <w:rPr>
          <w:rFonts w:ascii="Arial" w:eastAsia="Times New Roman" w:hAnsi="Arial" w:cs="Arial"/>
          <w:sz w:val="20"/>
          <w:szCs w:val="20"/>
          <w:shd w:val="clear" w:color="auto" w:fill="FFFFFF"/>
        </w:rPr>
        <w:t xml:space="preserve"> (legal entities and entrepreneurs) with 10 or more employees.</w:t>
      </w:r>
    </w:p>
    <w:p w:rsidR="00F613A1" w:rsidRPr="00F613A1" w:rsidRDefault="00F613A1" w:rsidP="000F7AD4">
      <w:pPr>
        <w:spacing w:after="0" w:line="240" w:lineRule="auto"/>
        <w:rPr>
          <w:rFonts w:ascii="Arial" w:hAnsi="Arial" w:cs="Arial"/>
          <w:sz w:val="20"/>
          <w:szCs w:val="20"/>
          <w:shd w:val="clear" w:color="auto" w:fill="FFFFFF"/>
          <w:lang w:val="sr-Cyrl-RS"/>
        </w:rPr>
      </w:pPr>
    </w:p>
    <w:p w:rsidR="00F613A1" w:rsidRPr="00F613A1" w:rsidRDefault="00F613A1" w:rsidP="000F7AD4">
      <w:pPr>
        <w:spacing w:after="0" w:line="240" w:lineRule="auto"/>
        <w:rPr>
          <w:rFonts w:ascii="Arial" w:eastAsia="Times New Roman" w:hAnsi="Arial" w:cs="Arial"/>
          <w:b/>
          <w:sz w:val="20"/>
          <w:szCs w:val="20"/>
          <w:shd w:val="clear" w:color="auto" w:fill="FFFFFF"/>
        </w:rPr>
      </w:pPr>
    </w:p>
    <w:p w:rsidR="00F613A1" w:rsidRPr="00F613A1" w:rsidRDefault="00F613A1" w:rsidP="000F7AD4">
      <w:pPr>
        <w:spacing w:after="0" w:line="240" w:lineRule="auto"/>
        <w:rPr>
          <w:rFonts w:ascii="Arial" w:eastAsia="Times New Roman" w:hAnsi="Arial" w:cs="Arial"/>
          <w:b/>
          <w:sz w:val="20"/>
          <w:szCs w:val="20"/>
          <w:shd w:val="clear" w:color="auto" w:fill="FFFFFF"/>
        </w:rPr>
      </w:pPr>
    </w:p>
    <w:p w:rsidR="00F613A1" w:rsidRPr="004027E7" w:rsidRDefault="00F613A1" w:rsidP="000F7AD4">
      <w:pPr>
        <w:pStyle w:val="ListParagraph"/>
        <w:numPr>
          <w:ilvl w:val="0"/>
          <w:numId w:val="1"/>
        </w:numPr>
        <w:spacing w:after="0" w:line="240" w:lineRule="auto"/>
        <w:ind w:left="0" w:firstLine="0"/>
        <w:rPr>
          <w:rFonts w:ascii="Arial" w:eastAsia="Times New Roman" w:hAnsi="Arial" w:cs="Arial"/>
          <w:b/>
          <w:sz w:val="20"/>
          <w:szCs w:val="20"/>
          <w:shd w:val="clear" w:color="auto" w:fill="FFFFFF"/>
        </w:rPr>
      </w:pPr>
      <w:r w:rsidRPr="004027E7">
        <w:rPr>
          <w:rFonts w:ascii="Arial" w:eastAsia="Times New Roman" w:hAnsi="Arial" w:cs="Arial"/>
          <w:b/>
          <w:sz w:val="20"/>
          <w:szCs w:val="20"/>
          <w:shd w:val="clear" w:color="auto" w:fill="FFFFFF"/>
        </w:rPr>
        <w:t>Other differences.</w:t>
      </w:r>
    </w:p>
    <w:p w:rsidR="009E77B7" w:rsidRDefault="009E77B7" w:rsidP="000F7AD4">
      <w:pPr>
        <w:spacing w:after="0" w:line="240" w:lineRule="auto"/>
        <w:rPr>
          <w:rFonts w:ascii="Arial" w:eastAsia="Times New Roman" w:hAnsi="Arial" w:cs="Arial"/>
          <w:b/>
          <w:sz w:val="20"/>
          <w:szCs w:val="20"/>
          <w:shd w:val="clear" w:color="auto" w:fill="FFFFFF"/>
        </w:rPr>
      </w:pPr>
    </w:p>
    <w:p w:rsidR="009E77B7" w:rsidRPr="009E77B7" w:rsidRDefault="004027E7" w:rsidP="000F7AD4">
      <w:pPr>
        <w:spacing w:after="0" w:line="240" w:lineRule="auto"/>
        <w:rPr>
          <w:rFonts w:ascii="Arial" w:hAnsi="Arial" w:cs="Arial"/>
          <w:sz w:val="20"/>
          <w:szCs w:val="20"/>
          <w:shd w:val="clear" w:color="auto" w:fill="FFFFFF"/>
          <w:lang w:val="sr-Cyrl-RS"/>
        </w:rPr>
      </w:pPr>
      <w:r w:rsidRPr="004027E7">
        <w:rPr>
          <w:rFonts w:ascii="Calibri" w:hAnsi="Calibri" w:cs="Calibri"/>
          <w:sz w:val="18"/>
          <w:szCs w:val="18"/>
          <w:shd w:val="clear" w:color="auto" w:fill="FFFFFF"/>
        </w:rPr>
        <w:t>O</w:t>
      </w:r>
      <w:r>
        <w:rPr>
          <w:rFonts w:ascii="Calibri" w:hAnsi="Calibri" w:cs="Calibri"/>
          <w:sz w:val="20"/>
          <w:szCs w:val="20"/>
          <w:shd w:val="clear" w:color="auto" w:fill="FFFFFF"/>
        </w:rPr>
        <w:t xml:space="preserve"> </w:t>
      </w:r>
      <w:r w:rsidR="009E77B7">
        <w:rPr>
          <w:rFonts w:ascii="Arial" w:hAnsi="Arial" w:cs="Arial"/>
          <w:sz w:val="20"/>
          <w:szCs w:val="20"/>
          <w:shd w:val="clear" w:color="auto" w:fill="FFFFFF"/>
        </w:rPr>
        <w:t xml:space="preserve"> </w:t>
      </w:r>
      <w:r>
        <w:rPr>
          <w:rFonts w:ascii="Arial" w:hAnsi="Arial" w:cs="Arial"/>
          <w:sz w:val="20"/>
          <w:szCs w:val="20"/>
          <w:shd w:val="clear" w:color="auto" w:fill="FFFFFF"/>
        </w:rPr>
        <w:t xml:space="preserve">    </w:t>
      </w:r>
      <w:r w:rsidR="009E77B7" w:rsidRPr="009E77B7">
        <w:rPr>
          <w:rFonts w:ascii="Arial" w:hAnsi="Arial" w:cs="Arial"/>
          <w:sz w:val="20"/>
          <w:szCs w:val="20"/>
          <w:shd w:val="clear" w:color="auto" w:fill="FFFFFF"/>
          <w:lang w:val="sr-Cyrl-RS"/>
        </w:rPr>
        <w:t>When calculating the average salary, all data from the tax return forms submitted within 45 days after the end of the month to which the average salary refers are included.</w:t>
      </w:r>
    </w:p>
    <w:p w:rsidR="009E77B7" w:rsidRPr="009E77B7" w:rsidRDefault="009E77B7" w:rsidP="000F7AD4">
      <w:pPr>
        <w:spacing w:after="0" w:line="240" w:lineRule="auto"/>
        <w:rPr>
          <w:rFonts w:ascii="Arial" w:hAnsi="Arial" w:cs="Arial"/>
          <w:sz w:val="20"/>
          <w:szCs w:val="20"/>
          <w:shd w:val="clear" w:color="auto" w:fill="FFFFFF"/>
          <w:lang w:val="sr-Cyrl-RS"/>
        </w:rPr>
      </w:pPr>
      <w:r w:rsidRPr="009E77B7">
        <w:rPr>
          <w:rFonts w:ascii="Arial" w:hAnsi="Arial" w:cs="Arial"/>
          <w:sz w:val="20"/>
          <w:szCs w:val="20"/>
          <w:shd w:val="clear" w:color="auto" w:fill="FFFFFF"/>
          <w:lang w:val="sr-Cyrl-RS"/>
        </w:rPr>
        <w:t>Average wages are obtained by dividing the total mass of calculated wages by the total number of employees, expressed in full-time equivalent. The number of employees whose salary was calculated</w:t>
      </w:r>
      <w:r w:rsidR="00667528">
        <w:rPr>
          <w:rFonts w:ascii="Arial" w:hAnsi="Arial" w:cs="Arial"/>
          <w:sz w:val="20"/>
          <w:szCs w:val="20"/>
          <w:shd w:val="clear" w:color="auto" w:fill="FFFFFF"/>
        </w:rPr>
        <w:t>,</w:t>
      </w:r>
      <w:r w:rsidRPr="009E77B7">
        <w:rPr>
          <w:rFonts w:ascii="Arial" w:hAnsi="Arial" w:cs="Arial"/>
          <w:sz w:val="20"/>
          <w:szCs w:val="20"/>
          <w:shd w:val="clear" w:color="auto" w:fill="FFFFFF"/>
          <w:lang w:val="sr-Cyrl-RS"/>
        </w:rPr>
        <w:t xml:space="preserve"> is calculated from the number of paid working hours.</w:t>
      </w:r>
    </w:p>
    <w:p w:rsidR="009E77B7" w:rsidRPr="009E77B7" w:rsidRDefault="009E77B7" w:rsidP="000F7AD4">
      <w:pPr>
        <w:spacing w:after="0" w:line="240" w:lineRule="auto"/>
        <w:rPr>
          <w:rFonts w:ascii="Arial" w:hAnsi="Arial" w:cs="Arial"/>
          <w:sz w:val="20"/>
          <w:szCs w:val="20"/>
          <w:shd w:val="clear" w:color="auto" w:fill="FFFFFF"/>
          <w:lang w:val="sr-Cyrl-RS"/>
        </w:rPr>
      </w:pPr>
      <w:r w:rsidRPr="009E77B7">
        <w:rPr>
          <w:rFonts w:ascii="Arial" w:hAnsi="Arial" w:cs="Arial"/>
          <w:sz w:val="20"/>
          <w:szCs w:val="20"/>
          <w:shd w:val="clear" w:color="auto" w:fill="FFFFFF"/>
          <w:lang w:val="sr-Cyrl-RS"/>
        </w:rPr>
        <w:t>Depending on the number of hours spent at work, each employee is assigned a coefficient of 0-1.5. The sum of the coefficients gives the total number of employees.</w:t>
      </w:r>
    </w:p>
    <w:p w:rsidR="009E77B7" w:rsidRDefault="009E77B7" w:rsidP="000F7AD4">
      <w:pPr>
        <w:spacing w:after="0" w:line="240" w:lineRule="auto"/>
        <w:rPr>
          <w:rFonts w:ascii="Arial" w:eastAsia="Times New Roman" w:hAnsi="Arial" w:cs="Arial"/>
          <w:b/>
          <w:sz w:val="20"/>
          <w:szCs w:val="20"/>
          <w:shd w:val="clear" w:color="auto" w:fill="FFFFFF"/>
        </w:rPr>
      </w:pPr>
    </w:p>
    <w:p w:rsidR="009E77B7" w:rsidRDefault="009E77B7" w:rsidP="004027E7">
      <w:pPr>
        <w:spacing w:after="0" w:line="240" w:lineRule="auto"/>
        <w:rPr>
          <w:rFonts w:ascii="Arial" w:eastAsia="Times New Roman" w:hAnsi="Arial" w:cs="Arial"/>
          <w:b/>
          <w:sz w:val="20"/>
          <w:szCs w:val="20"/>
          <w:shd w:val="clear" w:color="auto" w:fill="FFFFFF"/>
        </w:rPr>
      </w:pPr>
    </w:p>
    <w:p w:rsidR="009E77B7" w:rsidRDefault="009E77B7" w:rsidP="004027E7">
      <w:pPr>
        <w:spacing w:after="0" w:line="240" w:lineRule="auto"/>
        <w:rPr>
          <w:rFonts w:ascii="Arial" w:eastAsia="Times New Roman" w:hAnsi="Arial" w:cs="Arial"/>
          <w:b/>
          <w:sz w:val="20"/>
          <w:szCs w:val="20"/>
          <w:shd w:val="clear" w:color="auto" w:fill="FFFFFF"/>
        </w:rPr>
      </w:pPr>
    </w:p>
    <w:p w:rsidR="00F613A1" w:rsidRPr="00F613A1" w:rsidRDefault="00F613A1" w:rsidP="004027E7">
      <w:pPr>
        <w:numPr>
          <w:ilvl w:val="1"/>
          <w:numId w:val="1"/>
        </w:numPr>
        <w:spacing w:after="0" w:line="240" w:lineRule="auto"/>
        <w:ind w:left="0" w:firstLine="0"/>
        <w:rPr>
          <w:rFonts w:ascii="Arial" w:hAnsi="Arial" w:cs="Arial"/>
          <w:sz w:val="20"/>
          <w:szCs w:val="20"/>
          <w:shd w:val="clear" w:color="auto" w:fill="FFFFFF"/>
          <w:lang w:val="sr-Cyrl-RS"/>
        </w:rPr>
      </w:pPr>
      <w:r w:rsidRPr="00F613A1">
        <w:rPr>
          <w:rFonts w:ascii="Arial" w:hAnsi="Arial" w:cs="Arial"/>
          <w:sz w:val="20"/>
          <w:szCs w:val="20"/>
          <w:shd w:val="clear" w:color="auto" w:fill="FFFFFF"/>
        </w:rPr>
        <w:t xml:space="preserve">Only those employees who received earnings or wage </w:t>
      </w:r>
      <w:r w:rsidRPr="00F613A1">
        <w:rPr>
          <w:rFonts w:ascii="Arial" w:eastAsia="Times New Roman" w:hAnsi="Arial" w:cs="Arial"/>
          <w:sz w:val="20"/>
          <w:szCs w:val="20"/>
          <w:lang w:val="sr-Cyrl-CS"/>
        </w:rPr>
        <w:t>compensation</w:t>
      </w:r>
      <w:r w:rsidRPr="00F613A1">
        <w:rPr>
          <w:rFonts w:ascii="Arial" w:eastAsia="Times New Roman" w:hAnsi="Arial" w:cs="Arial"/>
          <w:sz w:val="20"/>
          <w:szCs w:val="20"/>
        </w:rPr>
        <w:t xml:space="preserve"> are taken into account in the LCS, while the total wages and salaries (D11), referring to calendar year, are divided by the number of employees expressed in full-time equivalents (FTE).</w:t>
      </w:r>
    </w:p>
    <w:p w:rsidR="00F613A1" w:rsidRPr="00F613A1" w:rsidRDefault="00F613A1" w:rsidP="00F613A1">
      <w:pPr>
        <w:spacing w:after="0" w:line="240" w:lineRule="auto"/>
        <w:ind w:left="284" w:firstLine="567"/>
        <w:jc w:val="both"/>
        <w:rPr>
          <w:rFonts w:ascii="Arial" w:eastAsia="Times New Roman" w:hAnsi="Arial" w:cs="Arial"/>
          <w:sz w:val="18"/>
          <w:szCs w:val="18"/>
          <w:shd w:val="clear" w:color="auto" w:fill="FFFFFF"/>
          <w:lang w:val="sr-Cyrl-RS"/>
        </w:rPr>
      </w:pPr>
    </w:p>
    <w:p w:rsidR="00F613A1" w:rsidRPr="00F613A1" w:rsidRDefault="00F613A1" w:rsidP="00F613A1">
      <w:pPr>
        <w:spacing w:after="0" w:line="240" w:lineRule="auto"/>
        <w:jc w:val="both"/>
        <w:rPr>
          <w:rFonts w:ascii="Arial" w:eastAsia="Times New Roman" w:hAnsi="Arial" w:cs="Arial"/>
          <w:color w:val="222222"/>
          <w:sz w:val="20"/>
          <w:szCs w:val="20"/>
          <w:shd w:val="clear" w:color="auto" w:fill="FFFFFF"/>
          <w:lang w:val="sr-Cyrl-RS"/>
        </w:rPr>
      </w:pPr>
    </w:p>
    <w:p w:rsidR="00994A01" w:rsidRDefault="00994A01" w:rsidP="00F613A1">
      <w:pPr>
        <w:spacing w:after="0" w:line="240" w:lineRule="auto"/>
        <w:jc w:val="center"/>
        <w:rPr>
          <w:rFonts w:ascii="Arial" w:eastAsia="Times New Roman" w:hAnsi="Arial" w:cs="Arial"/>
          <w:b/>
          <w:color w:val="222222"/>
          <w:sz w:val="20"/>
          <w:szCs w:val="20"/>
          <w:highlight w:val="yellow"/>
          <w:shd w:val="clear" w:color="auto" w:fill="FFFFFF"/>
        </w:rPr>
      </w:pPr>
    </w:p>
    <w:p w:rsidR="00F613A1" w:rsidRPr="00305A40" w:rsidRDefault="00F613A1" w:rsidP="00F613A1">
      <w:pPr>
        <w:spacing w:after="0" w:line="240" w:lineRule="auto"/>
        <w:jc w:val="center"/>
        <w:rPr>
          <w:rFonts w:ascii="Arial" w:hAnsi="Arial" w:cs="Arial"/>
          <w:sz w:val="20"/>
          <w:szCs w:val="20"/>
          <w:shd w:val="clear" w:color="auto" w:fill="FFFFFF"/>
        </w:rPr>
      </w:pPr>
      <w:r w:rsidRPr="00305A40">
        <w:rPr>
          <w:rFonts w:ascii="Arial" w:eastAsia="Times New Roman" w:hAnsi="Arial" w:cs="Arial"/>
          <w:b/>
          <w:color w:val="222222"/>
          <w:sz w:val="20"/>
          <w:szCs w:val="20"/>
          <w:shd w:val="clear" w:color="auto" w:fill="FFFFFF"/>
        </w:rPr>
        <w:lastRenderedPageBreak/>
        <w:t>Graph:</w:t>
      </w:r>
      <w:r w:rsidRPr="00305A40">
        <w:rPr>
          <w:rFonts w:ascii="Arial" w:eastAsia="Times New Roman" w:hAnsi="Arial" w:cs="Arial"/>
          <w:color w:val="222222"/>
          <w:sz w:val="20"/>
          <w:szCs w:val="20"/>
          <w:shd w:val="clear" w:color="auto" w:fill="FFFFFF"/>
        </w:rPr>
        <w:t xml:space="preserve"> </w:t>
      </w:r>
      <w:proofErr w:type="gramStart"/>
      <w:r w:rsidRPr="00305A40">
        <w:rPr>
          <w:rFonts w:ascii="Arial" w:eastAsia="Times New Roman" w:hAnsi="Arial" w:cs="Arial"/>
          <w:sz w:val="20"/>
          <w:szCs w:val="20"/>
        </w:rPr>
        <w:t xml:space="preserve">Gross </w:t>
      </w:r>
      <w:r w:rsidRPr="00305A40">
        <w:rPr>
          <w:rFonts w:ascii="Arial" w:eastAsia="Times New Roman" w:hAnsi="Arial" w:cs="Arial"/>
          <w:bCs/>
          <w:iCs/>
          <w:sz w:val="20"/>
          <w:szCs w:val="20"/>
          <w:lang w:val="sr-Cyrl-CS"/>
        </w:rPr>
        <w:t>wages and salaries</w:t>
      </w:r>
      <w:r w:rsidRPr="00305A40">
        <w:rPr>
          <w:rFonts w:ascii="Arial" w:eastAsia="Times New Roman" w:hAnsi="Arial" w:cs="Arial"/>
          <w:bCs/>
          <w:iCs/>
          <w:sz w:val="20"/>
          <w:szCs w:val="20"/>
        </w:rPr>
        <w:t xml:space="preserve"> </w:t>
      </w:r>
      <w:r w:rsidRPr="00305A40">
        <w:rPr>
          <w:rFonts w:ascii="Arial" w:hAnsi="Arial" w:cs="Arial"/>
          <w:sz w:val="20"/>
          <w:szCs w:val="20"/>
          <w:shd w:val="clear" w:color="auto" w:fill="FFFFFF"/>
          <w:lang w:val="sr-Cyrl-RS"/>
        </w:rPr>
        <w:t>(</w:t>
      </w:r>
      <w:r w:rsidR="00011C11" w:rsidRPr="00305A40">
        <w:rPr>
          <w:rFonts w:ascii="Arial" w:hAnsi="Arial" w:cs="Arial"/>
          <w:color w:val="000000"/>
          <w:sz w:val="20"/>
          <w:szCs w:val="20"/>
          <w:shd w:val="clear" w:color="auto" w:fill="FFFFFF"/>
        </w:rPr>
        <w:t>The survey on earnings</w:t>
      </w:r>
      <w:r w:rsidRPr="00305A40">
        <w:rPr>
          <w:rFonts w:ascii="Arial" w:hAnsi="Arial" w:cs="Arial"/>
          <w:sz w:val="20"/>
          <w:szCs w:val="20"/>
          <w:shd w:val="clear" w:color="auto" w:fill="FFFFFF"/>
          <w:lang w:val="sr-Cyrl-RS"/>
        </w:rPr>
        <w:t>)</w:t>
      </w:r>
      <w:r w:rsidRPr="00305A40">
        <w:rPr>
          <w:rFonts w:ascii="Arial" w:hAnsi="Arial" w:cs="Arial"/>
          <w:sz w:val="20"/>
          <w:szCs w:val="20"/>
          <w:shd w:val="clear" w:color="auto" w:fill="FFFFFF"/>
        </w:rPr>
        <w:t xml:space="preserve"> and Wages</w:t>
      </w:r>
      <w:proofErr w:type="gramEnd"/>
      <w:r w:rsidRPr="00305A40">
        <w:rPr>
          <w:rFonts w:ascii="Arial" w:hAnsi="Arial" w:cs="Arial"/>
          <w:sz w:val="20"/>
          <w:szCs w:val="20"/>
          <w:shd w:val="clear" w:color="auto" w:fill="FFFFFF"/>
        </w:rPr>
        <w:t xml:space="preserve"> and salaries (LCS)</w:t>
      </w:r>
    </w:p>
    <w:p w:rsidR="00F613A1" w:rsidRDefault="00F613A1" w:rsidP="00F613A1">
      <w:pPr>
        <w:spacing w:after="0" w:line="240" w:lineRule="auto"/>
        <w:jc w:val="center"/>
        <w:rPr>
          <w:rFonts w:ascii="Arial" w:eastAsia="Times New Roman" w:hAnsi="Arial" w:cs="Arial"/>
          <w:color w:val="222222"/>
          <w:sz w:val="20"/>
          <w:szCs w:val="20"/>
          <w:shd w:val="clear" w:color="auto" w:fill="FFFFFF"/>
        </w:rPr>
      </w:pPr>
      <w:r w:rsidRPr="00305A40">
        <w:rPr>
          <w:rFonts w:ascii="Arial" w:eastAsia="Times New Roman" w:hAnsi="Arial" w:cs="Arial"/>
          <w:color w:val="222222"/>
          <w:sz w:val="20"/>
          <w:szCs w:val="20"/>
          <w:shd w:val="clear" w:color="auto" w:fill="FFFFFF"/>
        </w:rPr>
        <w:t>- Average monthly amoun</w:t>
      </w:r>
      <w:r w:rsidR="00305A40" w:rsidRPr="00305A40">
        <w:rPr>
          <w:rFonts w:ascii="Arial" w:eastAsia="Times New Roman" w:hAnsi="Arial" w:cs="Arial"/>
          <w:color w:val="222222"/>
          <w:sz w:val="20"/>
          <w:szCs w:val="20"/>
          <w:shd w:val="clear" w:color="auto" w:fill="FFFFFF"/>
        </w:rPr>
        <w:t xml:space="preserve">ts in the year and indices (2016=100) </w:t>
      </w:r>
    </w:p>
    <w:p w:rsidR="004B4DE5" w:rsidRDefault="004B4DE5" w:rsidP="00F613A1">
      <w:pPr>
        <w:spacing w:after="0" w:line="240" w:lineRule="auto"/>
        <w:jc w:val="center"/>
        <w:rPr>
          <w:rFonts w:ascii="Arial" w:eastAsia="Times New Roman" w:hAnsi="Arial" w:cs="Arial"/>
          <w:color w:val="222222"/>
          <w:sz w:val="20"/>
          <w:szCs w:val="20"/>
          <w:shd w:val="clear" w:color="auto" w:fill="FFFFFF"/>
        </w:rPr>
      </w:pPr>
    </w:p>
    <w:p w:rsidR="004B4DE5" w:rsidRPr="00F613A1" w:rsidRDefault="004B4DE5" w:rsidP="00F613A1">
      <w:pPr>
        <w:spacing w:after="0" w:line="240" w:lineRule="auto"/>
        <w:jc w:val="center"/>
        <w:rPr>
          <w:rFonts w:ascii="Arial" w:eastAsia="Times New Roman" w:hAnsi="Arial" w:cs="Arial"/>
          <w:color w:val="222222"/>
          <w:sz w:val="20"/>
          <w:szCs w:val="20"/>
          <w:shd w:val="clear" w:color="auto" w:fill="FFFFFF"/>
        </w:rPr>
      </w:pPr>
    </w:p>
    <w:p w:rsidR="00F613A1" w:rsidRDefault="004B4DE5" w:rsidP="00305A40">
      <w:pPr>
        <w:spacing w:after="0" w:line="240" w:lineRule="auto"/>
        <w:jc w:val="both"/>
        <w:rPr>
          <w:rFonts w:ascii="Arial" w:eastAsia="Times New Roman" w:hAnsi="Arial" w:cs="Arial"/>
          <w:color w:val="222222"/>
          <w:sz w:val="20"/>
          <w:szCs w:val="20"/>
          <w:shd w:val="clear" w:color="auto" w:fill="FFFFFF"/>
        </w:rPr>
      </w:pPr>
      <w:r>
        <w:rPr>
          <w:noProof/>
        </w:rPr>
        <w:drawing>
          <wp:inline distT="0" distB="0" distL="0" distR="0" wp14:anchorId="15CA8BF2" wp14:editId="40A26928">
            <wp:extent cx="5943600" cy="4153535"/>
            <wp:effectExtent l="0" t="0" r="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05A40" w:rsidRDefault="00305A40" w:rsidP="00305A40">
      <w:pPr>
        <w:spacing w:after="0" w:line="240" w:lineRule="auto"/>
        <w:jc w:val="both"/>
        <w:rPr>
          <w:rFonts w:ascii="Arial" w:eastAsia="Times New Roman" w:hAnsi="Arial" w:cs="Arial"/>
          <w:color w:val="222222"/>
          <w:sz w:val="20"/>
          <w:szCs w:val="20"/>
          <w:shd w:val="clear" w:color="auto" w:fill="FFFFFF"/>
        </w:rPr>
      </w:pPr>
    </w:p>
    <w:p w:rsidR="00305A40" w:rsidRDefault="00305A40" w:rsidP="00305A40">
      <w:pPr>
        <w:spacing w:after="0" w:line="240" w:lineRule="auto"/>
        <w:jc w:val="both"/>
        <w:rPr>
          <w:rFonts w:ascii="Arial" w:eastAsia="Times New Roman" w:hAnsi="Arial" w:cs="Arial"/>
          <w:color w:val="222222"/>
          <w:sz w:val="20"/>
          <w:szCs w:val="20"/>
          <w:shd w:val="clear" w:color="auto" w:fill="FFFFFF"/>
        </w:rPr>
      </w:pPr>
    </w:p>
    <w:p w:rsidR="00305A40" w:rsidRPr="00F613A1" w:rsidRDefault="00305A40" w:rsidP="00305A40">
      <w:pPr>
        <w:spacing w:after="0" w:line="240" w:lineRule="auto"/>
        <w:jc w:val="both"/>
        <w:rPr>
          <w:rFonts w:ascii="Arial" w:eastAsia="Times New Roman" w:hAnsi="Arial" w:cs="Arial"/>
          <w:color w:val="222222"/>
          <w:sz w:val="18"/>
          <w:szCs w:val="18"/>
          <w:shd w:val="clear" w:color="auto" w:fill="FFFFFF"/>
          <w:lang w:val="sr-Cyrl-RS"/>
        </w:rPr>
      </w:pPr>
    </w:p>
    <w:p w:rsidR="00F613A1" w:rsidRPr="00F613A1" w:rsidRDefault="00F613A1" w:rsidP="00F613A1">
      <w:pPr>
        <w:spacing w:after="0" w:line="240" w:lineRule="auto"/>
        <w:ind w:left="284" w:firstLine="567"/>
        <w:jc w:val="both"/>
        <w:rPr>
          <w:rFonts w:ascii="Arial" w:eastAsia="Times New Roman" w:hAnsi="Arial" w:cs="Arial"/>
          <w:sz w:val="20"/>
          <w:szCs w:val="20"/>
          <w:shd w:val="clear" w:color="auto" w:fill="FFFFFF"/>
        </w:rPr>
      </w:pPr>
      <w:r w:rsidRPr="00F613A1">
        <w:rPr>
          <w:rFonts w:ascii="Arial" w:eastAsia="Times New Roman" w:hAnsi="Arial" w:cs="Arial"/>
          <w:sz w:val="20"/>
          <w:szCs w:val="20"/>
          <w:shd w:val="clear" w:color="auto" w:fill="FFFFFF"/>
        </w:rPr>
        <w:t>On the total/national level, average monthly wages and salaries (D11) in 20</w:t>
      </w:r>
      <w:r w:rsidR="0082389C">
        <w:rPr>
          <w:rFonts w:ascii="Arial" w:eastAsia="Times New Roman" w:hAnsi="Arial" w:cs="Arial"/>
          <w:sz w:val="20"/>
          <w:szCs w:val="20"/>
          <w:shd w:val="clear" w:color="auto" w:fill="FFFFFF"/>
        </w:rPr>
        <w:t>20</w:t>
      </w:r>
      <w:r w:rsidRPr="00F613A1">
        <w:rPr>
          <w:rFonts w:ascii="Arial" w:eastAsia="Times New Roman" w:hAnsi="Arial" w:cs="Arial"/>
          <w:sz w:val="20"/>
          <w:szCs w:val="20"/>
          <w:shd w:val="clear" w:color="auto" w:fill="FFFFFF"/>
        </w:rPr>
        <w:t xml:space="preserve"> were higher than the average monthly (gross) wages and salaries in the year by </w:t>
      </w:r>
      <w:r w:rsidR="008931F9" w:rsidRPr="00FD4E27">
        <w:rPr>
          <w:rFonts w:ascii="Arial" w:eastAsia="Times New Roman" w:hAnsi="Arial" w:cs="Arial"/>
          <w:sz w:val="20"/>
          <w:szCs w:val="20"/>
          <w:shd w:val="clear" w:color="auto" w:fill="FFFFFF"/>
        </w:rPr>
        <w:t>14.6</w:t>
      </w:r>
      <w:r w:rsidRPr="00F613A1">
        <w:rPr>
          <w:rFonts w:ascii="Arial" w:eastAsia="Times New Roman" w:hAnsi="Arial" w:cs="Arial"/>
          <w:sz w:val="20"/>
          <w:szCs w:val="20"/>
          <w:shd w:val="clear" w:color="auto" w:fill="FFFFFF"/>
        </w:rPr>
        <w:t xml:space="preserve">%. The reason for that is primarily the fact that average monthly wages and salaries (D11) have broader definition, i.e. include payments to employees, which </w:t>
      </w:r>
      <w:proofErr w:type="gramStart"/>
      <w:r w:rsidRPr="00F613A1">
        <w:rPr>
          <w:rFonts w:ascii="Arial" w:eastAsia="Times New Roman" w:hAnsi="Arial" w:cs="Arial"/>
          <w:sz w:val="20"/>
          <w:szCs w:val="20"/>
          <w:shd w:val="clear" w:color="auto" w:fill="FFFFFF"/>
        </w:rPr>
        <w:t xml:space="preserve">are not, under </w:t>
      </w:r>
      <w:r w:rsidRPr="00F613A1">
        <w:rPr>
          <w:rFonts w:ascii="Arial" w:eastAsia="Times New Roman" w:hAnsi="Arial" w:cs="Arial"/>
          <w:sz w:val="20"/>
          <w:szCs w:val="20"/>
          <w:lang w:val="sr-Cyrl-CS"/>
        </w:rPr>
        <w:t>Article 105 of the Law on Labour</w:t>
      </w:r>
      <w:r w:rsidRPr="00F613A1">
        <w:rPr>
          <w:rFonts w:ascii="Arial" w:eastAsia="Times New Roman" w:hAnsi="Arial" w:cs="Arial"/>
          <w:sz w:val="20"/>
          <w:szCs w:val="20"/>
        </w:rPr>
        <w:t>, regarded</w:t>
      </w:r>
      <w:proofErr w:type="gramEnd"/>
      <w:r w:rsidRPr="00F613A1">
        <w:rPr>
          <w:rFonts w:ascii="Arial" w:eastAsia="Times New Roman" w:hAnsi="Arial" w:cs="Arial"/>
          <w:sz w:val="20"/>
          <w:szCs w:val="20"/>
        </w:rPr>
        <w:t xml:space="preserve"> as earnings, although other methodological differences between these two surveys cannot be ignored. Ranking of sections of activities, in both surveys, according to the amount of (gross) wages and salaries (</w:t>
      </w:r>
      <w:r w:rsidR="001A25FA" w:rsidRPr="00FD4E27">
        <w:rPr>
          <w:rFonts w:ascii="Arial" w:hAnsi="Arial" w:cs="Arial"/>
          <w:color w:val="000000"/>
          <w:sz w:val="20"/>
          <w:szCs w:val="20"/>
          <w:shd w:val="clear" w:color="auto" w:fill="FFFFFF"/>
        </w:rPr>
        <w:t>the survey on earnings</w:t>
      </w:r>
      <w:r w:rsidRPr="00F613A1">
        <w:rPr>
          <w:rFonts w:ascii="Arial" w:eastAsia="Times New Roman" w:hAnsi="Arial" w:cs="Arial"/>
          <w:sz w:val="20"/>
          <w:szCs w:val="20"/>
        </w:rPr>
        <w:t>) and wages and salaries (LCS) in 20</w:t>
      </w:r>
      <w:r w:rsidR="0082389C">
        <w:rPr>
          <w:rFonts w:ascii="Arial" w:eastAsia="Times New Roman" w:hAnsi="Arial" w:cs="Arial"/>
          <w:sz w:val="20"/>
          <w:szCs w:val="20"/>
        </w:rPr>
        <w:t>20</w:t>
      </w:r>
      <w:r w:rsidRPr="00F613A1">
        <w:rPr>
          <w:rFonts w:ascii="Arial" w:eastAsia="Times New Roman" w:hAnsi="Arial" w:cs="Arial"/>
          <w:sz w:val="20"/>
          <w:szCs w:val="20"/>
        </w:rPr>
        <w:t xml:space="preserve"> gives approximately the same picture. According to both surveys, wages and salaries are the highest in the following five sections of activities: </w:t>
      </w:r>
      <w:r w:rsidRPr="00F613A1">
        <w:rPr>
          <w:rFonts w:ascii="Arial" w:eastAsia="Times New Roman" w:hAnsi="Arial" w:cs="Arial"/>
          <w:sz w:val="20"/>
          <w:szCs w:val="20"/>
          <w:lang w:val="sr-Cyrl-CS"/>
        </w:rPr>
        <w:t>Financial and insurance activities</w:t>
      </w:r>
      <w:r w:rsidRPr="00F613A1">
        <w:rPr>
          <w:rFonts w:ascii="Arial" w:eastAsia="Times New Roman" w:hAnsi="Arial" w:cs="Arial"/>
          <w:sz w:val="20"/>
          <w:szCs w:val="20"/>
        </w:rPr>
        <w:t xml:space="preserve">, </w:t>
      </w:r>
      <w:r w:rsidRPr="00F613A1">
        <w:rPr>
          <w:rFonts w:ascii="Arial" w:eastAsia="Times New Roman" w:hAnsi="Arial" w:cs="Arial"/>
          <w:sz w:val="20"/>
          <w:szCs w:val="20"/>
          <w:lang w:val="sr-Cyrl-CS"/>
        </w:rPr>
        <w:t>Professional, scientific and technical activities</w:t>
      </w:r>
      <w:r w:rsidRPr="00F613A1">
        <w:rPr>
          <w:rFonts w:ascii="Arial" w:eastAsia="Times New Roman" w:hAnsi="Arial" w:cs="Arial"/>
          <w:sz w:val="20"/>
          <w:szCs w:val="20"/>
        </w:rPr>
        <w:t>, Information and communication, Mining and quarrying, Electricity, gas, steam and air-conditioning supply, with minor deviations from the order. On the other hand, section Accommodation and food service activities is at the very bottom according to the amount of wages and salaries, in both surveys.</w:t>
      </w:r>
    </w:p>
    <w:p w:rsidR="00D11CEA" w:rsidRPr="00FD4E27" w:rsidRDefault="00F613A1" w:rsidP="00F613A1">
      <w:pPr>
        <w:spacing w:after="0" w:line="240" w:lineRule="auto"/>
        <w:ind w:left="284" w:firstLine="567"/>
        <w:jc w:val="both"/>
        <w:rPr>
          <w:rFonts w:ascii="Arial" w:eastAsia="Times New Roman" w:hAnsi="Arial" w:cs="Arial"/>
          <w:sz w:val="20"/>
          <w:szCs w:val="20"/>
          <w:shd w:val="clear" w:color="auto" w:fill="FFFFFF"/>
        </w:rPr>
      </w:pPr>
      <w:r w:rsidRPr="00F613A1">
        <w:rPr>
          <w:rFonts w:ascii="Arial" w:eastAsia="Times New Roman" w:hAnsi="Arial" w:cs="Arial"/>
          <w:sz w:val="20"/>
          <w:szCs w:val="20"/>
          <w:shd w:val="clear" w:color="auto" w:fill="FFFFFF"/>
        </w:rPr>
        <w:t>According to LCS, average monthly wages and salaries (D11) increased, in 20</w:t>
      </w:r>
      <w:r w:rsidR="008931F9" w:rsidRPr="00FD4E27">
        <w:rPr>
          <w:rFonts w:ascii="Arial" w:eastAsia="Times New Roman" w:hAnsi="Arial" w:cs="Arial"/>
          <w:sz w:val="20"/>
          <w:szCs w:val="20"/>
          <w:shd w:val="clear" w:color="auto" w:fill="FFFFFF"/>
        </w:rPr>
        <w:t>20</w:t>
      </w:r>
      <w:r w:rsidRPr="00F613A1">
        <w:rPr>
          <w:rFonts w:ascii="Arial" w:eastAsia="Times New Roman" w:hAnsi="Arial" w:cs="Arial"/>
          <w:sz w:val="20"/>
          <w:szCs w:val="20"/>
          <w:shd w:val="clear" w:color="auto" w:fill="FFFFFF"/>
        </w:rPr>
        <w:t xml:space="preserve"> comparing to 20</w:t>
      </w:r>
      <w:r w:rsidR="008931F9" w:rsidRPr="00FD4E27">
        <w:rPr>
          <w:rFonts w:ascii="Arial" w:eastAsia="Times New Roman" w:hAnsi="Arial" w:cs="Arial"/>
          <w:sz w:val="20"/>
          <w:szCs w:val="20"/>
          <w:shd w:val="clear" w:color="auto" w:fill="FFFFFF"/>
        </w:rPr>
        <w:t>16</w:t>
      </w:r>
      <w:r w:rsidRPr="00F613A1">
        <w:rPr>
          <w:rFonts w:ascii="Arial" w:eastAsia="Times New Roman" w:hAnsi="Arial" w:cs="Arial"/>
          <w:sz w:val="20"/>
          <w:szCs w:val="20"/>
          <w:shd w:val="clear" w:color="auto" w:fill="FFFFFF"/>
        </w:rPr>
        <w:t xml:space="preserve">, by </w:t>
      </w:r>
      <w:r w:rsidR="008931F9" w:rsidRPr="00FD4E27">
        <w:rPr>
          <w:rFonts w:ascii="Arial" w:eastAsia="Times New Roman" w:hAnsi="Arial" w:cs="Arial"/>
          <w:sz w:val="20"/>
          <w:szCs w:val="20"/>
          <w:shd w:val="clear" w:color="auto" w:fill="FFFFFF"/>
        </w:rPr>
        <w:t>34.1</w:t>
      </w:r>
      <w:r w:rsidRPr="00F613A1">
        <w:rPr>
          <w:rFonts w:ascii="Arial" w:eastAsia="Times New Roman" w:hAnsi="Arial" w:cs="Arial"/>
          <w:sz w:val="20"/>
          <w:szCs w:val="20"/>
          <w:shd w:val="clear" w:color="auto" w:fill="FFFFFF"/>
        </w:rPr>
        <w:t xml:space="preserve">%, while, in the same period, according to </w:t>
      </w:r>
      <w:r w:rsidR="008931F9" w:rsidRPr="00FD4E27">
        <w:rPr>
          <w:rFonts w:ascii="Arial" w:hAnsi="Arial" w:cs="Arial"/>
          <w:color w:val="000000"/>
          <w:sz w:val="20"/>
          <w:szCs w:val="20"/>
          <w:shd w:val="clear" w:color="auto" w:fill="FFFFFF"/>
        </w:rPr>
        <w:t>the survey on earnings</w:t>
      </w:r>
      <w:r w:rsidRPr="00F613A1">
        <w:rPr>
          <w:rFonts w:ascii="Arial" w:eastAsia="Times New Roman" w:hAnsi="Arial" w:cs="Arial"/>
          <w:sz w:val="20"/>
          <w:szCs w:val="20"/>
          <w:shd w:val="clear" w:color="auto" w:fill="FFFFFF"/>
        </w:rPr>
        <w:t>, average monthly (gross) wages and salaries</w:t>
      </w:r>
      <w:r w:rsidR="00332E52">
        <w:rPr>
          <w:rFonts w:ascii="Arial" w:eastAsia="Times New Roman" w:hAnsi="Arial" w:cs="Arial"/>
          <w:sz w:val="20"/>
          <w:szCs w:val="20"/>
          <w:shd w:val="clear" w:color="auto" w:fill="FFFFFF"/>
        </w:rPr>
        <w:t xml:space="preserve"> for</w:t>
      </w:r>
      <w:r w:rsidRPr="00F613A1">
        <w:rPr>
          <w:rFonts w:ascii="Arial" w:eastAsia="Times New Roman" w:hAnsi="Arial" w:cs="Arial"/>
          <w:sz w:val="20"/>
          <w:szCs w:val="20"/>
          <w:shd w:val="clear" w:color="auto" w:fill="FFFFFF"/>
        </w:rPr>
        <w:t xml:space="preserve"> the year increased by </w:t>
      </w:r>
      <w:r w:rsidR="008931F9" w:rsidRPr="00FD4E27">
        <w:rPr>
          <w:rFonts w:ascii="Arial" w:eastAsia="Times New Roman" w:hAnsi="Arial" w:cs="Arial"/>
          <w:sz w:val="20"/>
          <w:szCs w:val="20"/>
          <w:shd w:val="clear" w:color="auto" w:fill="FFFFFF"/>
        </w:rPr>
        <w:t>33.3</w:t>
      </w:r>
      <w:r w:rsidRPr="00F613A1">
        <w:rPr>
          <w:rFonts w:ascii="Arial" w:eastAsia="Times New Roman" w:hAnsi="Arial" w:cs="Arial"/>
          <w:sz w:val="20"/>
          <w:szCs w:val="20"/>
          <w:shd w:val="clear" w:color="auto" w:fill="FFFFFF"/>
        </w:rPr>
        <w:t xml:space="preserve">%. If having in mind the </w:t>
      </w:r>
      <w:proofErr w:type="gramStart"/>
      <w:r w:rsidRPr="00F613A1">
        <w:rPr>
          <w:rFonts w:ascii="Arial" w:eastAsia="Times New Roman" w:hAnsi="Arial" w:cs="Arial"/>
          <w:sz w:val="20"/>
          <w:szCs w:val="20"/>
          <w:shd w:val="clear" w:color="auto" w:fill="FFFFFF"/>
        </w:rPr>
        <w:t>above mentioned</w:t>
      </w:r>
      <w:proofErr w:type="gramEnd"/>
      <w:r w:rsidRPr="00F613A1">
        <w:rPr>
          <w:rFonts w:ascii="Arial" w:eastAsia="Times New Roman" w:hAnsi="Arial" w:cs="Arial"/>
          <w:sz w:val="20"/>
          <w:szCs w:val="20"/>
          <w:shd w:val="clear" w:color="auto" w:fill="FFFFFF"/>
        </w:rPr>
        <w:t xml:space="preserve"> differences in definition of the variables being compared, as well as differences in sample methodology and coverage of the survey, it can be concluded that there is a high level of coherence between </w:t>
      </w:r>
      <w:r w:rsidR="00D11CEA" w:rsidRPr="00FD4E27">
        <w:rPr>
          <w:rFonts w:ascii="Arial" w:eastAsia="Times New Roman" w:hAnsi="Arial" w:cs="Arial"/>
          <w:sz w:val="20"/>
          <w:szCs w:val="20"/>
          <w:shd w:val="clear" w:color="auto" w:fill="FFFFFF"/>
        </w:rPr>
        <w:t>the survey on earnings</w:t>
      </w:r>
      <w:r w:rsidRPr="00F613A1">
        <w:rPr>
          <w:rFonts w:ascii="Arial" w:eastAsia="Times New Roman" w:hAnsi="Arial" w:cs="Arial"/>
          <w:sz w:val="20"/>
          <w:szCs w:val="20"/>
          <w:shd w:val="clear" w:color="auto" w:fill="FFFFFF"/>
        </w:rPr>
        <w:t xml:space="preserve"> and LCS.</w:t>
      </w:r>
    </w:p>
    <w:p w:rsidR="0058312D" w:rsidRPr="00FD4E27" w:rsidRDefault="00F613A1" w:rsidP="00FD4E27">
      <w:pPr>
        <w:spacing w:after="0" w:line="240" w:lineRule="auto"/>
        <w:ind w:left="284" w:firstLine="567"/>
        <w:jc w:val="both"/>
        <w:rPr>
          <w:rFonts w:ascii="Arial" w:eastAsia="Times New Roman" w:hAnsi="Arial" w:cs="Arial"/>
          <w:sz w:val="20"/>
          <w:szCs w:val="20"/>
          <w:shd w:val="clear" w:color="auto" w:fill="FFFFFF"/>
        </w:rPr>
      </w:pPr>
      <w:r w:rsidRPr="003F414A">
        <w:rPr>
          <w:rFonts w:ascii="Arial" w:eastAsia="Times New Roman" w:hAnsi="Arial" w:cs="Arial"/>
          <w:sz w:val="20"/>
          <w:szCs w:val="20"/>
          <w:shd w:val="clear" w:color="auto" w:fill="FFFFFF"/>
        </w:rPr>
        <w:t>Based on the data from both surveys, the greatest increase of (gross) wages and salaries (</w:t>
      </w:r>
      <w:r w:rsidR="003230E7" w:rsidRPr="003F414A">
        <w:rPr>
          <w:rFonts w:ascii="Arial" w:hAnsi="Arial" w:cs="Arial"/>
          <w:color w:val="000000"/>
          <w:sz w:val="20"/>
          <w:szCs w:val="20"/>
          <w:shd w:val="clear" w:color="auto" w:fill="FFFFFF"/>
        </w:rPr>
        <w:t>the survey on earnings</w:t>
      </w:r>
      <w:r w:rsidRPr="003F414A">
        <w:rPr>
          <w:rFonts w:ascii="Arial" w:eastAsia="Times New Roman" w:hAnsi="Arial" w:cs="Arial"/>
          <w:sz w:val="20"/>
          <w:szCs w:val="20"/>
          <w:shd w:val="clear" w:color="auto" w:fill="FFFFFF"/>
        </w:rPr>
        <w:t>) and wages and salaries (D11), (LCS), in 20</w:t>
      </w:r>
      <w:r w:rsidR="00994A01" w:rsidRPr="003F414A">
        <w:rPr>
          <w:rFonts w:ascii="Arial" w:eastAsia="Times New Roman" w:hAnsi="Arial" w:cs="Arial"/>
          <w:sz w:val="20"/>
          <w:szCs w:val="20"/>
          <w:shd w:val="clear" w:color="auto" w:fill="FFFFFF"/>
          <w:lang w:val="sr-Cyrl-RS"/>
        </w:rPr>
        <w:t>20</w:t>
      </w:r>
      <w:r w:rsidRPr="003F414A">
        <w:rPr>
          <w:rFonts w:ascii="Arial" w:eastAsia="Times New Roman" w:hAnsi="Arial" w:cs="Arial"/>
          <w:sz w:val="20"/>
          <w:szCs w:val="20"/>
          <w:shd w:val="clear" w:color="auto" w:fill="FFFFFF"/>
        </w:rPr>
        <w:t xml:space="preserve"> in relation to 20</w:t>
      </w:r>
      <w:r w:rsidR="00994A01" w:rsidRPr="003F414A">
        <w:rPr>
          <w:rFonts w:ascii="Arial" w:eastAsia="Times New Roman" w:hAnsi="Arial" w:cs="Arial"/>
          <w:sz w:val="20"/>
          <w:szCs w:val="20"/>
          <w:shd w:val="clear" w:color="auto" w:fill="FFFFFF"/>
          <w:lang w:val="sr-Cyrl-RS"/>
        </w:rPr>
        <w:t>16</w:t>
      </w:r>
      <w:r w:rsidRPr="003F414A">
        <w:rPr>
          <w:rFonts w:ascii="Arial" w:eastAsia="Times New Roman" w:hAnsi="Arial" w:cs="Arial"/>
          <w:sz w:val="20"/>
          <w:szCs w:val="20"/>
          <w:shd w:val="clear" w:color="auto" w:fill="FFFFFF"/>
        </w:rPr>
        <w:t xml:space="preserve">, was recorded in section Information and communication and amounts to </w:t>
      </w:r>
      <w:r w:rsidR="00710024" w:rsidRPr="003F414A">
        <w:rPr>
          <w:rFonts w:ascii="Arial" w:eastAsia="Times New Roman" w:hAnsi="Arial" w:cs="Arial"/>
          <w:sz w:val="20"/>
          <w:szCs w:val="20"/>
          <w:shd w:val="clear" w:color="auto" w:fill="FFFFFF"/>
        </w:rPr>
        <w:t>61.9</w:t>
      </w:r>
      <w:r w:rsidRPr="003F414A">
        <w:rPr>
          <w:rFonts w:ascii="Arial" w:eastAsia="Times New Roman" w:hAnsi="Arial" w:cs="Arial"/>
          <w:sz w:val="20"/>
          <w:szCs w:val="20"/>
          <w:shd w:val="clear" w:color="auto" w:fill="FFFFFF"/>
        </w:rPr>
        <w:t>% (</w:t>
      </w:r>
      <w:r w:rsidR="00710024" w:rsidRPr="003F414A">
        <w:rPr>
          <w:rFonts w:ascii="Arial" w:eastAsia="Times New Roman" w:hAnsi="Arial" w:cs="Arial"/>
          <w:sz w:val="20"/>
          <w:szCs w:val="20"/>
          <w:shd w:val="clear" w:color="auto" w:fill="FFFFFF"/>
        </w:rPr>
        <w:t>the survey on earnings</w:t>
      </w:r>
      <w:r w:rsidRPr="003F414A">
        <w:rPr>
          <w:rFonts w:ascii="Arial" w:eastAsia="Times New Roman" w:hAnsi="Arial" w:cs="Arial"/>
          <w:sz w:val="20"/>
          <w:szCs w:val="20"/>
          <w:shd w:val="clear" w:color="auto" w:fill="FFFFFF"/>
        </w:rPr>
        <w:t xml:space="preserve">), i.e. </w:t>
      </w:r>
      <w:r w:rsidR="00710024" w:rsidRPr="003F414A">
        <w:rPr>
          <w:rFonts w:ascii="Arial" w:eastAsia="Times New Roman" w:hAnsi="Arial" w:cs="Arial"/>
          <w:sz w:val="20"/>
          <w:szCs w:val="20"/>
          <w:shd w:val="clear" w:color="auto" w:fill="FFFFFF"/>
        </w:rPr>
        <w:t>66.4</w:t>
      </w:r>
      <w:r w:rsidRPr="003F414A">
        <w:rPr>
          <w:rFonts w:ascii="Arial" w:eastAsia="Times New Roman" w:hAnsi="Arial" w:cs="Arial"/>
          <w:sz w:val="20"/>
          <w:szCs w:val="20"/>
          <w:shd w:val="clear" w:color="auto" w:fill="FFFFFF"/>
        </w:rPr>
        <w:t>% (LCS).</w:t>
      </w:r>
      <w:r w:rsidRPr="00F613A1">
        <w:rPr>
          <w:rFonts w:ascii="Arial" w:eastAsia="Times New Roman" w:hAnsi="Arial" w:cs="Arial"/>
          <w:sz w:val="20"/>
          <w:szCs w:val="20"/>
          <w:shd w:val="clear" w:color="auto" w:fill="FFFFFF"/>
        </w:rPr>
        <w:t xml:space="preserve"> </w:t>
      </w:r>
    </w:p>
    <w:p w:rsidR="00FD4E27" w:rsidRPr="00FD4E27" w:rsidRDefault="00FD4E27" w:rsidP="00FD4E27">
      <w:pPr>
        <w:spacing w:after="0" w:line="240" w:lineRule="auto"/>
        <w:ind w:left="284" w:firstLine="567"/>
        <w:jc w:val="both"/>
        <w:rPr>
          <w:rFonts w:ascii="Arial" w:hAnsi="Arial" w:cs="Arial"/>
          <w:sz w:val="20"/>
          <w:szCs w:val="20"/>
        </w:rPr>
      </w:pPr>
      <w:r w:rsidRPr="00FD4E27">
        <w:rPr>
          <w:rFonts w:ascii="Arial" w:hAnsi="Arial" w:cs="Arial"/>
          <w:sz w:val="20"/>
          <w:szCs w:val="20"/>
        </w:rPr>
        <w:t xml:space="preserve">The biggest difference </w:t>
      </w:r>
      <w:proofErr w:type="gramStart"/>
      <w:r w:rsidRPr="00FD4E27">
        <w:rPr>
          <w:rFonts w:ascii="Arial" w:hAnsi="Arial" w:cs="Arial"/>
          <w:sz w:val="20"/>
          <w:szCs w:val="20"/>
        </w:rPr>
        <w:t>in  wages</w:t>
      </w:r>
      <w:proofErr w:type="gramEnd"/>
      <w:r w:rsidRPr="00FD4E27">
        <w:rPr>
          <w:rFonts w:ascii="Arial" w:hAnsi="Arial" w:cs="Arial"/>
          <w:sz w:val="20"/>
          <w:szCs w:val="20"/>
        </w:rPr>
        <w:t xml:space="preserve"> and salaries  (the survey on earnings) and wages and salaries (ITR) is in the Real estate activities. However, this trend </w:t>
      </w:r>
      <w:proofErr w:type="gramStart"/>
      <w:r w:rsidRPr="00FD4E27">
        <w:rPr>
          <w:rFonts w:ascii="Arial" w:hAnsi="Arial" w:cs="Arial"/>
          <w:sz w:val="20"/>
          <w:szCs w:val="20"/>
        </w:rPr>
        <w:t>can be interpreted</w:t>
      </w:r>
      <w:proofErr w:type="gramEnd"/>
      <w:r w:rsidRPr="00FD4E27">
        <w:rPr>
          <w:rFonts w:ascii="Arial" w:hAnsi="Arial" w:cs="Arial"/>
          <w:sz w:val="20"/>
          <w:szCs w:val="20"/>
        </w:rPr>
        <w:t xml:space="preserve"> in favor of the coherence of </w:t>
      </w:r>
      <w:r w:rsidRPr="00FD4E27">
        <w:rPr>
          <w:rFonts w:ascii="Arial" w:hAnsi="Arial" w:cs="Arial"/>
          <w:sz w:val="20"/>
          <w:szCs w:val="20"/>
        </w:rPr>
        <w:lastRenderedPageBreak/>
        <w:t>these two studies. Namely, in the calculation of data on average wages (</w:t>
      </w:r>
      <w:proofErr w:type="spellStart"/>
      <w:r w:rsidRPr="00FD4E27">
        <w:rPr>
          <w:rFonts w:ascii="Arial" w:hAnsi="Arial" w:cs="Arial"/>
          <w:sz w:val="20"/>
          <w:szCs w:val="20"/>
        </w:rPr>
        <w:t>тhe</w:t>
      </w:r>
      <w:proofErr w:type="spellEnd"/>
      <w:r w:rsidRPr="00FD4E27">
        <w:rPr>
          <w:rFonts w:ascii="Arial" w:hAnsi="Arial" w:cs="Arial"/>
          <w:sz w:val="20"/>
          <w:szCs w:val="20"/>
        </w:rPr>
        <w:t xml:space="preserve"> survey on earnings) all companies are included regardless of the number of employees, while for the calculation of labor costs (ITR) the sample includes only companies with ten or more employees. </w:t>
      </w:r>
      <w:r w:rsidR="000B1063">
        <w:rPr>
          <w:rFonts w:ascii="Arial" w:hAnsi="Arial" w:cs="Arial"/>
          <w:sz w:val="20"/>
          <w:szCs w:val="20"/>
        </w:rPr>
        <w:t>A</w:t>
      </w:r>
      <w:bookmarkStart w:id="0" w:name="_GoBack"/>
      <w:bookmarkEnd w:id="0"/>
      <w:r w:rsidR="000B1063" w:rsidRPr="000B1063">
        <w:rPr>
          <w:rFonts w:ascii="Arial" w:hAnsi="Arial" w:cs="Arial"/>
          <w:sz w:val="20"/>
          <w:szCs w:val="20"/>
        </w:rPr>
        <w:t xml:space="preserve">ccording to a survey on earnings </w:t>
      </w:r>
      <w:r w:rsidR="000B1063">
        <w:rPr>
          <w:rFonts w:ascii="Arial" w:hAnsi="Arial" w:cs="Arial"/>
          <w:sz w:val="20"/>
          <w:szCs w:val="20"/>
        </w:rPr>
        <w:t>i</w:t>
      </w:r>
      <w:r w:rsidRPr="00FD4E27">
        <w:rPr>
          <w:rFonts w:ascii="Arial" w:hAnsi="Arial" w:cs="Arial"/>
          <w:sz w:val="20"/>
          <w:szCs w:val="20"/>
        </w:rPr>
        <w:t>n the mentioned sector over 40% of employees work in companies with less than 10 employees.</w:t>
      </w:r>
    </w:p>
    <w:sectPr w:rsidR="00FD4E27" w:rsidRPr="00FD4E27" w:rsidSect="000F7AD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A194F"/>
    <w:multiLevelType w:val="hybridMultilevel"/>
    <w:tmpl w:val="DD0A62DE"/>
    <w:lvl w:ilvl="0" w:tplc="AAC0FA3E">
      <w:numFmt w:val="bullet"/>
      <w:lvlText w:val="-"/>
      <w:lvlJc w:val="left"/>
      <w:pPr>
        <w:ind w:left="1211" w:hanging="360"/>
      </w:pPr>
      <w:rPr>
        <w:rFonts w:ascii="Arial" w:eastAsia="Times New Roman" w:hAnsi="Arial" w:cs="Aria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A1"/>
    <w:rsid w:val="00011C11"/>
    <w:rsid w:val="00042235"/>
    <w:rsid w:val="000B1063"/>
    <w:rsid w:val="000F7AD4"/>
    <w:rsid w:val="00106746"/>
    <w:rsid w:val="001A25FA"/>
    <w:rsid w:val="001C5CC7"/>
    <w:rsid w:val="00241676"/>
    <w:rsid w:val="00305A40"/>
    <w:rsid w:val="003230E7"/>
    <w:rsid w:val="00332E52"/>
    <w:rsid w:val="003F414A"/>
    <w:rsid w:val="004027E7"/>
    <w:rsid w:val="004A3BC0"/>
    <w:rsid w:val="004B4DE5"/>
    <w:rsid w:val="0058312D"/>
    <w:rsid w:val="00667528"/>
    <w:rsid w:val="00710024"/>
    <w:rsid w:val="0082389C"/>
    <w:rsid w:val="008931F9"/>
    <w:rsid w:val="008C00F8"/>
    <w:rsid w:val="008C6031"/>
    <w:rsid w:val="0092685F"/>
    <w:rsid w:val="00994A01"/>
    <w:rsid w:val="009E77B7"/>
    <w:rsid w:val="00AC0C69"/>
    <w:rsid w:val="00B93C15"/>
    <w:rsid w:val="00D11CEA"/>
    <w:rsid w:val="00D56532"/>
    <w:rsid w:val="00F613A1"/>
    <w:rsid w:val="00F936DF"/>
    <w:rsid w:val="00FB6C3B"/>
    <w:rsid w:val="00FD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3DEA"/>
  <w15:chartTrackingRefBased/>
  <w15:docId w15:val="{A03B3D23-7308-4BE6-B2D8-E830FD8F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
    <w:name w:val="Pasus"/>
    <w:basedOn w:val="Normal"/>
    <w:link w:val="PasusChar"/>
    <w:rsid w:val="00F613A1"/>
    <w:pPr>
      <w:spacing w:after="0" w:line="240" w:lineRule="auto"/>
      <w:ind w:left="284" w:firstLine="567"/>
      <w:jc w:val="both"/>
    </w:pPr>
    <w:rPr>
      <w:rFonts w:ascii="Arial" w:eastAsia="Times New Roman" w:hAnsi="Arial" w:cs="Arial"/>
      <w:sz w:val="20"/>
      <w:szCs w:val="20"/>
      <w:lang w:val="sr-Cyrl-CS"/>
    </w:rPr>
  </w:style>
  <w:style w:type="character" w:customStyle="1" w:styleId="PasusChar">
    <w:name w:val="Pasus Char"/>
    <w:basedOn w:val="DefaultParagraphFont"/>
    <w:link w:val="Pasus"/>
    <w:rsid w:val="00F613A1"/>
    <w:rPr>
      <w:rFonts w:ascii="Arial" w:eastAsia="Times New Roman" w:hAnsi="Arial" w:cs="Arial"/>
      <w:sz w:val="20"/>
      <w:szCs w:val="20"/>
      <w:lang w:val="sr-Cyrl-CS"/>
    </w:rPr>
  </w:style>
  <w:style w:type="paragraph" w:styleId="ListParagraph">
    <w:name w:val="List Paragraph"/>
    <w:basedOn w:val="Normal"/>
    <w:uiPriority w:val="34"/>
    <w:qFormat/>
    <w:rsid w:val="00402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800225921126954E-2"/>
          <c:y val="0.11075419144035567"/>
          <c:w val="0.61697009370265776"/>
          <c:h val="0.40858089167425499"/>
        </c:manualLayout>
      </c:layout>
      <c:barChart>
        <c:barDir val="col"/>
        <c:grouping val="clustered"/>
        <c:varyColors val="0"/>
        <c:ser>
          <c:idx val="0"/>
          <c:order val="0"/>
          <c:tx>
            <c:strRef>
              <c:f>Sheet3!$D$37</c:f>
              <c:strCache>
                <c:ptCount val="1"/>
                <c:pt idx="0">
                  <c:v>ø monthly gross wages and salaries in the year (The survey on wages), 2020</c:v>
                </c:pt>
              </c:strCache>
            </c:strRef>
          </c:tx>
          <c:spPr>
            <a:solidFill>
              <a:schemeClr val="accent1"/>
            </a:solidFill>
            <a:ln>
              <a:noFill/>
            </a:ln>
            <a:effectLst/>
          </c:spPr>
          <c:invertIfNegative val="0"/>
          <c:cat>
            <c:strRef>
              <c:f>Sheet3!$C$38:$C$57</c:f>
              <c:strCache>
                <c:ptCount val="20"/>
                <c:pt idx="0">
                  <c:v>Total - all sections</c:v>
                </c:pt>
                <c:pt idx="1">
                  <c:v>Agriculture, forestry and fishing</c:v>
                </c:pt>
                <c:pt idx="2">
                  <c:v>Mining and quarrying</c:v>
                </c:pt>
                <c:pt idx="3">
                  <c:v>Manufacturing</c:v>
                </c:pt>
                <c:pt idx="4">
                  <c:v>Electricity, gas, steam and air conditioning supply</c:v>
                </c:pt>
                <c:pt idx="5">
                  <c:v>Water supply, sewerage, waste management and remediation activities</c:v>
                </c:pt>
                <c:pt idx="6">
                  <c:v>Construction</c:v>
                </c:pt>
                <c:pt idx="7">
                  <c:v>Wholesale and retail trade and repair of motor vehicles and motorcycles</c:v>
                </c:pt>
                <c:pt idx="8">
                  <c:v>Transportation and  storage</c:v>
                </c:pt>
                <c:pt idx="9">
                  <c:v>Accommodation and food service activities</c:v>
                </c:pt>
                <c:pt idx="10">
                  <c:v>Information and communication</c:v>
                </c:pt>
                <c:pt idx="11">
                  <c:v>Financial and insurance activities</c:v>
                </c:pt>
                <c:pt idx="12">
                  <c:v>Real estate acitivities</c:v>
                </c:pt>
                <c:pt idx="13">
                  <c:v>Professional, scientific and technical activities</c:v>
                </c:pt>
                <c:pt idx="14">
                  <c:v>Administrative and support service activities</c:v>
                </c:pt>
                <c:pt idx="15">
                  <c:v>Public administration and defence; compulsory social security</c:v>
                </c:pt>
                <c:pt idx="16">
                  <c:v>Education</c:v>
                </c:pt>
                <c:pt idx="17">
                  <c:v>Human health and social work activities</c:v>
                </c:pt>
                <c:pt idx="18">
                  <c:v>Arts, entertainment and recreation</c:v>
                </c:pt>
                <c:pt idx="19">
                  <c:v>Other service activities</c:v>
                </c:pt>
              </c:strCache>
            </c:strRef>
          </c:cat>
          <c:val>
            <c:numRef>
              <c:f>Sheet3!$D$38:$D$57</c:f>
              <c:numCache>
                <c:formatCode>0</c:formatCode>
                <c:ptCount val="20"/>
                <c:pt idx="0">
                  <c:v>82984</c:v>
                </c:pt>
                <c:pt idx="1">
                  <c:v>72174</c:v>
                </c:pt>
                <c:pt idx="2">
                  <c:v>126362</c:v>
                </c:pt>
                <c:pt idx="3">
                  <c:v>72788</c:v>
                </c:pt>
                <c:pt idx="4">
                  <c:v>136680</c:v>
                </c:pt>
                <c:pt idx="5">
                  <c:v>75388</c:v>
                </c:pt>
                <c:pt idx="6">
                  <c:v>72392</c:v>
                </c:pt>
                <c:pt idx="7">
                  <c:v>68286</c:v>
                </c:pt>
                <c:pt idx="8">
                  <c:v>72780</c:v>
                </c:pt>
                <c:pt idx="9">
                  <c:v>50837</c:v>
                </c:pt>
                <c:pt idx="10">
                  <c:v>163609</c:v>
                </c:pt>
                <c:pt idx="11">
                  <c:v>139287</c:v>
                </c:pt>
                <c:pt idx="12">
                  <c:v>80534</c:v>
                </c:pt>
                <c:pt idx="13">
                  <c:v>104385</c:v>
                </c:pt>
                <c:pt idx="14">
                  <c:v>75350</c:v>
                </c:pt>
                <c:pt idx="15">
                  <c:v>97527</c:v>
                </c:pt>
                <c:pt idx="16">
                  <c:v>84169</c:v>
                </c:pt>
                <c:pt idx="17">
                  <c:v>90682</c:v>
                </c:pt>
                <c:pt idx="18">
                  <c:v>67106</c:v>
                </c:pt>
                <c:pt idx="19">
                  <c:v>62227</c:v>
                </c:pt>
              </c:numCache>
            </c:numRef>
          </c:val>
          <c:extLst>
            <c:ext xmlns:c16="http://schemas.microsoft.com/office/drawing/2014/chart" uri="{C3380CC4-5D6E-409C-BE32-E72D297353CC}">
              <c16:uniqueId val="{00000000-EDB1-4C30-A530-48E591378FAB}"/>
            </c:ext>
          </c:extLst>
        </c:ser>
        <c:ser>
          <c:idx val="1"/>
          <c:order val="1"/>
          <c:tx>
            <c:strRef>
              <c:f>Sheet3!$E$37</c:f>
              <c:strCache>
                <c:ptCount val="1"/>
                <c:pt idx="0">
                  <c:v>ø monthly wages and salaries (D11), (LCS), 2020</c:v>
                </c:pt>
              </c:strCache>
            </c:strRef>
          </c:tx>
          <c:spPr>
            <a:solidFill>
              <a:schemeClr val="accent2"/>
            </a:solidFill>
            <a:ln>
              <a:noFill/>
            </a:ln>
            <a:effectLst/>
          </c:spPr>
          <c:invertIfNegative val="0"/>
          <c:cat>
            <c:strRef>
              <c:f>Sheet3!$C$38:$C$57</c:f>
              <c:strCache>
                <c:ptCount val="20"/>
                <c:pt idx="0">
                  <c:v>Total - all sections</c:v>
                </c:pt>
                <c:pt idx="1">
                  <c:v>Agriculture, forestry and fishing</c:v>
                </c:pt>
                <c:pt idx="2">
                  <c:v>Mining and quarrying</c:v>
                </c:pt>
                <c:pt idx="3">
                  <c:v>Manufacturing</c:v>
                </c:pt>
                <c:pt idx="4">
                  <c:v>Electricity, gas, steam and air conditioning supply</c:v>
                </c:pt>
                <c:pt idx="5">
                  <c:v>Water supply, sewerage, waste management and remediation activities</c:v>
                </c:pt>
                <c:pt idx="6">
                  <c:v>Construction</c:v>
                </c:pt>
                <c:pt idx="7">
                  <c:v>Wholesale and retail trade and repair of motor vehicles and motorcycles</c:v>
                </c:pt>
                <c:pt idx="8">
                  <c:v>Transportation and  storage</c:v>
                </c:pt>
                <c:pt idx="9">
                  <c:v>Accommodation and food service activities</c:v>
                </c:pt>
                <c:pt idx="10">
                  <c:v>Information and communication</c:v>
                </c:pt>
                <c:pt idx="11">
                  <c:v>Financial and insurance activities</c:v>
                </c:pt>
                <c:pt idx="12">
                  <c:v>Real estate acitivities</c:v>
                </c:pt>
                <c:pt idx="13">
                  <c:v>Professional, scientific and technical activities</c:v>
                </c:pt>
                <c:pt idx="14">
                  <c:v>Administrative and support service activities</c:v>
                </c:pt>
                <c:pt idx="15">
                  <c:v>Public administration and defence; compulsory social security</c:v>
                </c:pt>
                <c:pt idx="16">
                  <c:v>Education</c:v>
                </c:pt>
                <c:pt idx="17">
                  <c:v>Human health and social work activities</c:v>
                </c:pt>
                <c:pt idx="18">
                  <c:v>Arts, entertainment and recreation</c:v>
                </c:pt>
                <c:pt idx="19">
                  <c:v>Other service activities</c:v>
                </c:pt>
              </c:strCache>
            </c:strRef>
          </c:cat>
          <c:val>
            <c:numRef>
              <c:f>Sheet3!$E$38:$E$57</c:f>
              <c:numCache>
                <c:formatCode>0</c:formatCode>
                <c:ptCount val="20"/>
                <c:pt idx="0">
                  <c:v>96810</c:v>
                </c:pt>
                <c:pt idx="1">
                  <c:v>80335.49246685415</c:v>
                </c:pt>
                <c:pt idx="2">
                  <c:v>168330.49546795478</c:v>
                </c:pt>
                <c:pt idx="3">
                  <c:v>82519.902955492085</c:v>
                </c:pt>
                <c:pt idx="4">
                  <c:v>165110.01565762004</c:v>
                </c:pt>
                <c:pt idx="5">
                  <c:v>81699.2470892969</c:v>
                </c:pt>
                <c:pt idx="6">
                  <c:v>89859.401253383359</c:v>
                </c:pt>
                <c:pt idx="7">
                  <c:v>78773.838310022475</c:v>
                </c:pt>
                <c:pt idx="8">
                  <c:v>83953.13628117535</c:v>
                </c:pt>
                <c:pt idx="9">
                  <c:v>71288.704043842983</c:v>
                </c:pt>
                <c:pt idx="10">
                  <c:v>190481.59815768505</c:v>
                </c:pt>
                <c:pt idx="11">
                  <c:v>143891.51237453564</c:v>
                </c:pt>
                <c:pt idx="12">
                  <c:v>104580.41217275074</c:v>
                </c:pt>
                <c:pt idx="13">
                  <c:v>131765.6135260697</c:v>
                </c:pt>
                <c:pt idx="14">
                  <c:v>85006.622643770868</c:v>
                </c:pt>
                <c:pt idx="15">
                  <c:v>111496.76889700214</c:v>
                </c:pt>
                <c:pt idx="16">
                  <c:v>97187.858735524511</c:v>
                </c:pt>
                <c:pt idx="17">
                  <c:v>98066.203800503863</c:v>
                </c:pt>
                <c:pt idx="18">
                  <c:v>74835.381480712094</c:v>
                </c:pt>
                <c:pt idx="19">
                  <c:v>82416.655039521385</c:v>
                </c:pt>
              </c:numCache>
            </c:numRef>
          </c:val>
          <c:extLst>
            <c:ext xmlns:c16="http://schemas.microsoft.com/office/drawing/2014/chart" uri="{C3380CC4-5D6E-409C-BE32-E72D297353CC}">
              <c16:uniqueId val="{00000001-EDB1-4C30-A530-48E591378FAB}"/>
            </c:ext>
          </c:extLst>
        </c:ser>
        <c:dLbls>
          <c:showLegendKey val="0"/>
          <c:showVal val="0"/>
          <c:showCatName val="0"/>
          <c:showSerName val="0"/>
          <c:showPercent val="0"/>
          <c:showBubbleSize val="0"/>
        </c:dLbls>
        <c:gapWidth val="219"/>
        <c:overlap val="-27"/>
        <c:axId val="230604800"/>
        <c:axId val="230606720"/>
      </c:barChart>
      <c:lineChart>
        <c:grouping val="standard"/>
        <c:varyColors val="0"/>
        <c:ser>
          <c:idx val="2"/>
          <c:order val="2"/>
          <c:tx>
            <c:strRef>
              <c:f>Sheet3!$F$37</c:f>
              <c:strCache>
                <c:ptCount val="1"/>
                <c:pt idx="0">
                  <c:v>Index of ø monthly gross wages and salaries (The survey on wages) 2016=100</c:v>
                </c:pt>
              </c:strCache>
            </c:strRef>
          </c:tx>
          <c:spPr>
            <a:ln w="19050" cap="rnd" cmpd="sng" algn="ctr">
              <a:solidFill>
                <a:schemeClr val="accent3"/>
              </a:solidFill>
              <a:prstDash val="solid"/>
              <a:round/>
            </a:ln>
            <a:effectLst/>
          </c:spPr>
          <c:marker>
            <c:symbol val="diamond"/>
            <c:size val="7"/>
            <c:spPr>
              <a:solidFill>
                <a:schemeClr val="accent3"/>
              </a:solidFill>
              <a:ln w="6350" cap="flat" cmpd="sng" algn="ctr">
                <a:solidFill>
                  <a:schemeClr val="accent3"/>
                </a:solidFill>
                <a:prstDash val="solid"/>
                <a:round/>
              </a:ln>
              <a:effectLst/>
            </c:spPr>
          </c:marker>
          <c:cat>
            <c:strRef>
              <c:f>Sheet3!$C$38:$C$57</c:f>
              <c:strCache>
                <c:ptCount val="20"/>
                <c:pt idx="0">
                  <c:v>Total - all sections</c:v>
                </c:pt>
                <c:pt idx="1">
                  <c:v>Agriculture, forestry and fishing</c:v>
                </c:pt>
                <c:pt idx="2">
                  <c:v>Mining and quarrying</c:v>
                </c:pt>
                <c:pt idx="3">
                  <c:v>Manufacturing</c:v>
                </c:pt>
                <c:pt idx="4">
                  <c:v>Electricity, gas, steam and air conditioning supply</c:v>
                </c:pt>
                <c:pt idx="5">
                  <c:v>Water supply, sewerage, waste management and remediation activities</c:v>
                </c:pt>
                <c:pt idx="6">
                  <c:v>Construction</c:v>
                </c:pt>
                <c:pt idx="7">
                  <c:v>Wholesale and retail trade and repair of motor vehicles and motorcycles</c:v>
                </c:pt>
                <c:pt idx="8">
                  <c:v>Transportation and  storage</c:v>
                </c:pt>
                <c:pt idx="9">
                  <c:v>Accommodation and food service activities</c:v>
                </c:pt>
                <c:pt idx="10">
                  <c:v>Information and communication</c:v>
                </c:pt>
                <c:pt idx="11">
                  <c:v>Financial and insurance activities</c:v>
                </c:pt>
                <c:pt idx="12">
                  <c:v>Real estate acitivities</c:v>
                </c:pt>
                <c:pt idx="13">
                  <c:v>Professional, scientific and technical activities</c:v>
                </c:pt>
                <c:pt idx="14">
                  <c:v>Administrative and support service activities</c:v>
                </c:pt>
                <c:pt idx="15">
                  <c:v>Public administration and defence; compulsory social security</c:v>
                </c:pt>
                <c:pt idx="16">
                  <c:v>Education</c:v>
                </c:pt>
                <c:pt idx="17">
                  <c:v>Human health and social work activities</c:v>
                </c:pt>
                <c:pt idx="18">
                  <c:v>Arts, entertainment and recreation</c:v>
                </c:pt>
                <c:pt idx="19">
                  <c:v>Other service activities</c:v>
                </c:pt>
              </c:strCache>
            </c:strRef>
          </c:cat>
          <c:val>
            <c:numRef>
              <c:f>Sheet3!$F$38:$F$57</c:f>
              <c:numCache>
                <c:formatCode>0.0</c:formatCode>
                <c:ptCount val="20"/>
                <c:pt idx="0">
                  <c:v>133.25938665000001</c:v>
                </c:pt>
                <c:pt idx="1">
                  <c:v>138.21686424000001</c:v>
                </c:pt>
                <c:pt idx="2">
                  <c:v>122.44031816050001</c:v>
                </c:pt>
                <c:pt idx="3">
                  <c:v>130.057573228</c:v>
                </c:pt>
                <c:pt idx="4">
                  <c:v>124.961205564</c:v>
                </c:pt>
                <c:pt idx="5">
                  <c:v>135.15529830400001</c:v>
                </c:pt>
                <c:pt idx="6">
                  <c:v>132.36600031199998</c:v>
                </c:pt>
                <c:pt idx="7">
                  <c:v>133.95594491759999</c:v>
                </c:pt>
                <c:pt idx="8">
                  <c:v>126.30431019150001</c:v>
                </c:pt>
                <c:pt idx="9">
                  <c:v>132.14545930260002</c:v>
                </c:pt>
                <c:pt idx="10">
                  <c:v>161.90775625639998</c:v>
                </c:pt>
                <c:pt idx="11">
                  <c:v>118.40631660000001</c:v>
                </c:pt>
                <c:pt idx="12">
                  <c:v>123.396526968</c:v>
                </c:pt>
                <c:pt idx="13">
                  <c:v>132.57313031249998</c:v>
                </c:pt>
                <c:pt idx="14">
                  <c:v>146.0964099336</c:v>
                </c:pt>
                <c:pt idx="15">
                  <c:v>132.69652025040003</c:v>
                </c:pt>
                <c:pt idx="16">
                  <c:v>130.0271643216</c:v>
                </c:pt>
                <c:pt idx="17">
                  <c:v>148.43167023999996</c:v>
                </c:pt>
                <c:pt idx="18">
                  <c:v>131.97434811600002</c:v>
                </c:pt>
                <c:pt idx="19">
                  <c:v>121.95605260999996</c:v>
                </c:pt>
              </c:numCache>
            </c:numRef>
          </c:val>
          <c:smooth val="0"/>
          <c:extLst>
            <c:ext xmlns:c16="http://schemas.microsoft.com/office/drawing/2014/chart" uri="{C3380CC4-5D6E-409C-BE32-E72D297353CC}">
              <c16:uniqueId val="{00000002-EDB1-4C30-A530-48E591378FAB}"/>
            </c:ext>
          </c:extLst>
        </c:ser>
        <c:ser>
          <c:idx val="3"/>
          <c:order val="3"/>
          <c:tx>
            <c:strRef>
              <c:f>Sheet3!$G$37</c:f>
              <c:strCache>
                <c:ptCount val="1"/>
                <c:pt idx="0">
                  <c:v>Index of ø monthly  wages and salaries (D11), (LCS), 2016=100</c:v>
                </c:pt>
              </c:strCache>
            </c:strRef>
          </c:tx>
          <c:spPr>
            <a:ln w="19050" cap="rnd" cmpd="sng" algn="ctr">
              <a:solidFill>
                <a:schemeClr val="accent4"/>
              </a:solidFill>
              <a:prstDash val="solid"/>
              <a:round/>
            </a:ln>
            <a:effectLst/>
          </c:spPr>
          <c:marker>
            <c:symbol val="diamond"/>
            <c:size val="7"/>
            <c:spPr>
              <a:solidFill>
                <a:schemeClr val="accent4"/>
              </a:solidFill>
              <a:ln w="6350" cap="flat" cmpd="sng" algn="ctr">
                <a:solidFill>
                  <a:schemeClr val="accent4"/>
                </a:solidFill>
                <a:prstDash val="solid"/>
                <a:round/>
              </a:ln>
              <a:effectLst/>
            </c:spPr>
          </c:marker>
          <c:cat>
            <c:strRef>
              <c:f>Sheet3!$C$38:$C$57</c:f>
              <c:strCache>
                <c:ptCount val="20"/>
                <c:pt idx="0">
                  <c:v>Total - all sections</c:v>
                </c:pt>
                <c:pt idx="1">
                  <c:v>Agriculture, forestry and fishing</c:v>
                </c:pt>
                <c:pt idx="2">
                  <c:v>Mining and quarrying</c:v>
                </c:pt>
                <c:pt idx="3">
                  <c:v>Manufacturing</c:v>
                </c:pt>
                <c:pt idx="4">
                  <c:v>Electricity, gas, steam and air conditioning supply</c:v>
                </c:pt>
                <c:pt idx="5">
                  <c:v>Water supply, sewerage, waste management and remediation activities</c:v>
                </c:pt>
                <c:pt idx="6">
                  <c:v>Construction</c:v>
                </c:pt>
                <c:pt idx="7">
                  <c:v>Wholesale and retail trade and repair of motor vehicles and motorcycles</c:v>
                </c:pt>
                <c:pt idx="8">
                  <c:v>Transportation and  storage</c:v>
                </c:pt>
                <c:pt idx="9">
                  <c:v>Accommodation and food service activities</c:v>
                </c:pt>
                <c:pt idx="10">
                  <c:v>Information and communication</c:v>
                </c:pt>
                <c:pt idx="11">
                  <c:v>Financial and insurance activities</c:v>
                </c:pt>
                <c:pt idx="12">
                  <c:v>Real estate acitivities</c:v>
                </c:pt>
                <c:pt idx="13">
                  <c:v>Professional, scientific and technical activities</c:v>
                </c:pt>
                <c:pt idx="14">
                  <c:v>Administrative and support service activities</c:v>
                </c:pt>
                <c:pt idx="15">
                  <c:v>Public administration and defence; compulsory social security</c:v>
                </c:pt>
                <c:pt idx="16">
                  <c:v>Education</c:v>
                </c:pt>
                <c:pt idx="17">
                  <c:v>Human health and social work activities</c:v>
                </c:pt>
                <c:pt idx="18">
                  <c:v>Arts, entertainment and recreation</c:v>
                </c:pt>
                <c:pt idx="19">
                  <c:v>Other service activities</c:v>
                </c:pt>
              </c:strCache>
            </c:strRef>
          </c:cat>
          <c:val>
            <c:numRef>
              <c:f>Sheet3!$G$38:$G$57</c:f>
              <c:numCache>
                <c:formatCode>0.0</c:formatCode>
                <c:ptCount val="20"/>
                <c:pt idx="0">
                  <c:v>134.11420002147267</c:v>
                </c:pt>
                <c:pt idx="1">
                  <c:v>127.00125806940218</c:v>
                </c:pt>
                <c:pt idx="2">
                  <c:v>151.5031651656443</c:v>
                </c:pt>
                <c:pt idx="3">
                  <c:v>133.36316474807916</c:v>
                </c:pt>
                <c:pt idx="4">
                  <c:v>150.78620570211868</c:v>
                </c:pt>
                <c:pt idx="5">
                  <c:v>124.86909449605008</c:v>
                </c:pt>
                <c:pt idx="6">
                  <c:v>144.05623978547462</c:v>
                </c:pt>
                <c:pt idx="7">
                  <c:v>126.50960040688561</c:v>
                </c:pt>
                <c:pt idx="8">
                  <c:v>126.03447057542884</c:v>
                </c:pt>
                <c:pt idx="9">
                  <c:v>149.32255685160087</c:v>
                </c:pt>
                <c:pt idx="10">
                  <c:v>166.43251571775829</c:v>
                </c:pt>
                <c:pt idx="11">
                  <c:v>111.90968330533013</c:v>
                </c:pt>
                <c:pt idx="12">
                  <c:v>166.35382605571471</c:v>
                </c:pt>
                <c:pt idx="13">
                  <c:v>112.16831356819227</c:v>
                </c:pt>
                <c:pt idx="14">
                  <c:v>141.49984695975897</c:v>
                </c:pt>
                <c:pt idx="15">
                  <c:v>131.4906962982061</c:v>
                </c:pt>
                <c:pt idx="16">
                  <c:v>145.8264474528192</c:v>
                </c:pt>
                <c:pt idx="17">
                  <c:v>148.92870872657588</c:v>
                </c:pt>
                <c:pt idx="18">
                  <c:v>130.21378513987378</c:v>
                </c:pt>
                <c:pt idx="19">
                  <c:v>128.6482128398813</c:v>
                </c:pt>
              </c:numCache>
            </c:numRef>
          </c:val>
          <c:smooth val="0"/>
          <c:extLst>
            <c:ext xmlns:c16="http://schemas.microsoft.com/office/drawing/2014/chart" uri="{C3380CC4-5D6E-409C-BE32-E72D297353CC}">
              <c16:uniqueId val="{00000003-EDB1-4C30-A530-48E591378FAB}"/>
            </c:ext>
          </c:extLst>
        </c:ser>
        <c:dLbls>
          <c:showLegendKey val="0"/>
          <c:showVal val="0"/>
          <c:showCatName val="0"/>
          <c:showSerName val="0"/>
          <c:showPercent val="0"/>
          <c:showBubbleSize val="0"/>
        </c:dLbls>
        <c:marker val="1"/>
        <c:smooth val="0"/>
        <c:axId val="230610816"/>
        <c:axId val="230608896"/>
      </c:lineChart>
      <c:catAx>
        <c:axId val="230604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606720"/>
        <c:crosses val="autoZero"/>
        <c:auto val="0"/>
        <c:lblAlgn val="ctr"/>
        <c:lblOffset val="100"/>
        <c:noMultiLvlLbl val="0"/>
      </c:catAx>
      <c:valAx>
        <c:axId val="230606720"/>
        <c:scaling>
          <c:orientation val="minMax"/>
          <c:max val="250000"/>
          <c:min val="0"/>
        </c:scaling>
        <c:delete val="0"/>
        <c:axPos val="l"/>
        <c:majorGridlines>
          <c:spPr>
            <a:ln w="9525" cap="flat" cmpd="sng" algn="ctr">
              <a:solidFill>
                <a:schemeClr val="tx1">
                  <a:lumMod val="15000"/>
                  <a:lumOff val="85000"/>
                </a:schemeClr>
              </a:solidFill>
              <a:prstDash val="solid"/>
              <a:round/>
            </a:ln>
            <a:effectLst/>
          </c:spPr>
        </c:majorGridlines>
        <c:title>
          <c:tx>
            <c:rich>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r>
                  <a:rPr lang="sr-Latn-RS"/>
                  <a:t>RSD</a:t>
                </a:r>
                <a:endParaRPr lang="en-US"/>
              </a:p>
            </c:rich>
          </c:tx>
          <c:layout>
            <c:manualLayout>
              <c:xMode val="edge"/>
              <c:yMode val="edge"/>
              <c:x val="7.91765637371338E-3"/>
              <c:y val="4.997357473172994E-2"/>
            </c:manualLayout>
          </c:layout>
          <c:overlay val="0"/>
          <c:spPr>
            <a:noFill/>
            <a:ln>
              <a:noFill/>
            </a:ln>
            <a:effectLst/>
          </c:spPr>
          <c:txPr>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604800"/>
        <c:crosses val="autoZero"/>
        <c:crossBetween val="between"/>
      </c:valAx>
      <c:valAx>
        <c:axId val="230608896"/>
        <c:scaling>
          <c:orientation val="minMax"/>
          <c:min val="100"/>
        </c:scaling>
        <c:delete val="0"/>
        <c:axPos val="r"/>
        <c:minorGridlines>
          <c:spPr>
            <a:ln w="9525" cap="flat" cmpd="sng" algn="ctr">
              <a:solidFill>
                <a:schemeClr val="tx1">
                  <a:lumMod val="5000"/>
                  <a:lumOff val="95000"/>
                </a:schemeClr>
              </a:solidFill>
              <a:prstDash val="solid"/>
              <a:round/>
            </a:ln>
            <a:effectLst/>
          </c:spPr>
        </c:min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sr-Cyrl-RS"/>
                  <a:t>201</a:t>
                </a:r>
                <a:r>
                  <a:rPr lang="en-US"/>
                  <a:t>6</a:t>
                </a:r>
                <a:r>
                  <a:rPr lang="sr-Cyrl-RS"/>
                  <a:t> =100</a:t>
                </a:r>
                <a:endParaRPr lang="en-US"/>
              </a:p>
            </c:rich>
          </c:tx>
          <c:layout>
            <c:manualLayout>
              <c:xMode val="edge"/>
              <c:yMode val="edge"/>
              <c:x val="0.66972010253272152"/>
              <c:y val="3.3856300506815346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in"/>
        <c:minorTickMark val="none"/>
        <c:tickLblPos val="nextTo"/>
        <c:spPr>
          <a:noFill/>
          <a:ln w="6350" cap="flat" cmpd="sng" algn="ctr">
            <a:solidFill>
              <a:schemeClr val="accent1"/>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610816"/>
        <c:crosses val="max"/>
        <c:crossBetween val="between"/>
        <c:majorUnit val="5"/>
        <c:minorUnit val="2"/>
      </c:valAx>
      <c:catAx>
        <c:axId val="230610816"/>
        <c:scaling>
          <c:orientation val="minMax"/>
        </c:scaling>
        <c:delete val="1"/>
        <c:axPos val="b"/>
        <c:numFmt formatCode="General" sourceLinked="1"/>
        <c:majorTickMark val="out"/>
        <c:minorTickMark val="none"/>
        <c:tickLblPos val="nextTo"/>
        <c:crossAx val="230608896"/>
        <c:crossesAt val="150"/>
        <c:auto val="0"/>
        <c:lblAlgn val="ctr"/>
        <c:lblOffset val="100"/>
        <c:noMultiLvlLbl val="0"/>
      </c:catAx>
      <c:spPr>
        <a:noFill/>
        <a:ln>
          <a:noFill/>
        </a:ln>
        <a:effectLst/>
      </c:spPr>
    </c:plotArea>
    <c:legend>
      <c:legendPos val="r"/>
      <c:layout>
        <c:manualLayout>
          <c:xMode val="edge"/>
          <c:yMode val="edge"/>
          <c:x val="0.75536792467902125"/>
          <c:y val="0.23726640678790892"/>
          <c:w val="0.23248084962588011"/>
          <c:h val="0.5826046892067485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Cmilja Ivkovic</dc:creator>
  <cp:keywords/>
  <dc:description/>
  <cp:lastModifiedBy>Cmilja Ivkovic</cp:lastModifiedBy>
  <cp:revision>34</cp:revision>
  <dcterms:created xsi:type="dcterms:W3CDTF">2022-06-14T08:31:00Z</dcterms:created>
  <dcterms:modified xsi:type="dcterms:W3CDTF">2022-07-13T06:52:00Z</dcterms:modified>
</cp:coreProperties>
</file>