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2C" w:rsidRDefault="00B0342C" w:rsidP="00790180">
      <w:pPr>
        <w:autoSpaceDE w:val="0"/>
        <w:autoSpaceDN w:val="0"/>
        <w:adjustRightInd w:val="0"/>
        <w:spacing w:after="60"/>
        <w:contextualSpacing/>
        <w:jc w:val="center"/>
        <w:rPr>
          <w:rFonts w:ascii="Arial" w:eastAsia="SymbolMT" w:hAnsi="Arial" w:cs="Arial"/>
          <w:b/>
          <w:sz w:val="18"/>
          <w:szCs w:val="18"/>
          <w:lang w:val="sr-Cyrl-RS"/>
        </w:rPr>
      </w:pPr>
    </w:p>
    <w:p w:rsidR="00B0342C" w:rsidRDefault="00B0342C" w:rsidP="00790180">
      <w:pPr>
        <w:autoSpaceDE w:val="0"/>
        <w:autoSpaceDN w:val="0"/>
        <w:adjustRightInd w:val="0"/>
        <w:spacing w:after="60"/>
        <w:contextualSpacing/>
        <w:jc w:val="center"/>
        <w:rPr>
          <w:rFonts w:ascii="Arial" w:eastAsia="SymbolMT" w:hAnsi="Arial" w:cs="Arial"/>
          <w:b/>
          <w:sz w:val="18"/>
          <w:szCs w:val="18"/>
          <w:lang w:val="sr-Cyrl-RS"/>
        </w:rPr>
      </w:pPr>
    </w:p>
    <w:p w:rsidR="00790180" w:rsidRPr="00B0342C" w:rsidRDefault="00790180" w:rsidP="00790180">
      <w:pPr>
        <w:autoSpaceDE w:val="0"/>
        <w:autoSpaceDN w:val="0"/>
        <w:adjustRightInd w:val="0"/>
        <w:spacing w:after="60"/>
        <w:contextualSpacing/>
        <w:jc w:val="center"/>
        <w:rPr>
          <w:rFonts w:ascii="Arial" w:eastAsia="SymbolMT" w:hAnsi="Arial" w:cs="Arial"/>
          <w:lang w:val="sr-Cyrl-RS"/>
        </w:rPr>
      </w:pPr>
      <w:r w:rsidRPr="00B0342C">
        <w:rPr>
          <w:rFonts w:ascii="Arial" w:eastAsia="SymbolMT" w:hAnsi="Arial" w:cs="Arial"/>
          <w:b/>
          <w:lang w:val="sr-Cyrl-RS"/>
        </w:rPr>
        <w:t>Таble</w:t>
      </w:r>
      <w:r w:rsidR="00B0342C" w:rsidRPr="00B0342C">
        <w:rPr>
          <w:rFonts w:ascii="Arial" w:eastAsia="SymbolMT" w:hAnsi="Arial" w:cs="Arial"/>
          <w:b/>
          <w:lang w:val="en-US"/>
        </w:rPr>
        <w:t xml:space="preserve"> 1</w:t>
      </w:r>
      <w:r w:rsidRPr="00B0342C">
        <w:rPr>
          <w:rFonts w:ascii="Arial" w:eastAsia="SymbolMT" w:hAnsi="Arial" w:cs="Arial"/>
          <w:b/>
          <w:lang w:val="sr-Cyrl-RS"/>
        </w:rPr>
        <w:t>.</w:t>
      </w:r>
      <w:r w:rsidRPr="00B0342C">
        <w:rPr>
          <w:rFonts w:ascii="Arial" w:eastAsia="SymbolMT" w:hAnsi="Arial" w:cs="Arial"/>
          <w:lang w:val="sr-Cyrl-RS"/>
        </w:rPr>
        <w:t xml:space="preserve"> Estimates, standard errors and CV of annual labour costs</w:t>
      </w:r>
      <w:r w:rsidRPr="00B0342C">
        <w:rPr>
          <w:rFonts w:ascii="Arial" w:eastAsia="SymbolMT" w:hAnsi="Arial" w:cs="Arial"/>
          <w:lang w:val="sr-Latn-RS"/>
        </w:rPr>
        <w:t xml:space="preserve"> and</w:t>
      </w:r>
      <w:r w:rsidRPr="00B0342C">
        <w:rPr>
          <w:rFonts w:ascii="Arial" w:eastAsia="SymbolMT" w:hAnsi="Arial" w:cs="Arial"/>
          <w:lang w:val="sr-Cyrl-RS"/>
        </w:rPr>
        <w:t xml:space="preserve"> hourly la</w:t>
      </w:r>
      <w:r w:rsidR="006875F3">
        <w:rPr>
          <w:rFonts w:ascii="Arial" w:eastAsia="SymbolMT" w:hAnsi="Arial" w:cs="Arial"/>
          <w:lang w:val="sr-Cyrl-RS"/>
        </w:rPr>
        <w:t>bour costs, by NSTJ</w:t>
      </w:r>
      <w:r w:rsidRPr="00B0342C">
        <w:rPr>
          <w:rFonts w:ascii="Arial" w:eastAsia="SymbolMT" w:hAnsi="Arial" w:cs="Arial"/>
          <w:lang w:val="sr-Cyrl-RS"/>
        </w:rPr>
        <w:t>1, LCS 2016</w:t>
      </w:r>
    </w:p>
    <w:tbl>
      <w:tblPr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1"/>
        <w:gridCol w:w="1012"/>
        <w:gridCol w:w="1181"/>
        <w:gridCol w:w="1098"/>
        <w:gridCol w:w="1181"/>
        <w:gridCol w:w="1181"/>
        <w:gridCol w:w="1181"/>
      </w:tblGrid>
      <w:tr w:rsidR="00790180" w:rsidRPr="00B0342C" w:rsidTr="00192432">
        <w:trPr>
          <w:trHeight w:val="340"/>
          <w:jc w:val="center"/>
        </w:trPr>
        <w:tc>
          <w:tcPr>
            <w:tcW w:w="167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90180" w:rsidRPr="00B0342C" w:rsidRDefault="00790180" w:rsidP="001924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NSTJ 1</w:t>
            </w:r>
          </w:p>
        </w:tc>
        <w:tc>
          <w:tcPr>
            <w:tcW w:w="3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90180" w:rsidRPr="00B0342C" w:rsidRDefault="00790180" w:rsidP="001924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Annual labour costs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90180" w:rsidRPr="00B0342C" w:rsidRDefault="00790180" w:rsidP="0019243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Hourly labour costs</w:t>
            </w:r>
          </w:p>
        </w:tc>
      </w:tr>
      <w:tr w:rsidR="00790180" w:rsidRPr="00B0342C" w:rsidTr="00192432">
        <w:trPr>
          <w:trHeight w:val="340"/>
          <w:jc w:val="center"/>
        </w:trPr>
        <w:tc>
          <w:tcPr>
            <w:tcW w:w="167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0180" w:rsidRPr="00B0342C" w:rsidRDefault="00790180" w:rsidP="001924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90180" w:rsidRPr="00B0342C" w:rsidRDefault="00790180" w:rsidP="0019243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Estimate</w:t>
            </w:r>
            <w:r w:rsidR="00C14FF9"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(in mill.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en-US"/>
              </w:rPr>
              <w:t>RSD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90180" w:rsidRPr="00B0342C" w:rsidRDefault="00790180" w:rsidP="0019243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Standard error</w:t>
            </w:r>
            <w:r w:rsidR="00C14FF9"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(in mill. RSD)</w:t>
            </w:r>
          </w:p>
        </w:tc>
        <w:tc>
          <w:tcPr>
            <w:tcW w:w="10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90180" w:rsidRPr="00B0342C" w:rsidRDefault="00790180" w:rsidP="001924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>CV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90180" w:rsidRPr="00B0342C" w:rsidRDefault="00790180" w:rsidP="0019243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Estimate</w:t>
            </w:r>
            <w:r w:rsidR="00C14FF9"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    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(in mill.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RSD)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90180" w:rsidRPr="00B0342C" w:rsidRDefault="00790180" w:rsidP="0019243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Standard error</w:t>
            </w:r>
            <w:r w:rsidR="00C14FF9"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(in mill</w:t>
            </w:r>
            <w:r w:rsidRPr="00B034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RSD)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90180" w:rsidRPr="00B0342C" w:rsidRDefault="00790180" w:rsidP="001924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>CV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(%)</w:t>
            </w:r>
          </w:p>
        </w:tc>
      </w:tr>
      <w:tr w:rsidR="00790180" w:rsidRPr="00B0342C" w:rsidTr="00192432">
        <w:trPr>
          <w:trHeight w:val="340"/>
          <w:jc w:val="center"/>
        </w:trPr>
        <w:tc>
          <w:tcPr>
            <w:tcW w:w="167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0180" w:rsidRPr="00B0342C" w:rsidRDefault="00790180" w:rsidP="0019243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0180" w:rsidRPr="00B0342C" w:rsidRDefault="00790180" w:rsidP="0019243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0180" w:rsidRPr="00B0342C" w:rsidRDefault="00790180" w:rsidP="0019243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0180" w:rsidRPr="00B0342C" w:rsidRDefault="00790180" w:rsidP="0019243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0180" w:rsidRPr="00B0342C" w:rsidRDefault="00790180" w:rsidP="0019243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0180" w:rsidRPr="00B0342C" w:rsidRDefault="00790180" w:rsidP="0019243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790180" w:rsidRPr="00B0342C" w:rsidRDefault="00790180" w:rsidP="001924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0D0C" w:rsidRPr="00B0342C" w:rsidTr="00A033C4">
        <w:trPr>
          <w:trHeight w:val="284"/>
          <w:jc w:val="center"/>
        </w:trPr>
        <w:tc>
          <w:tcPr>
            <w:tcW w:w="167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B0D0C" w:rsidRPr="00B0342C" w:rsidRDefault="004B0D0C" w:rsidP="004B0D0C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TOTAL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hideMark/>
          </w:tcPr>
          <w:p w:rsidR="004B0D0C" w:rsidRPr="00B0342C" w:rsidRDefault="004B0D0C" w:rsidP="004B0D0C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b/>
                <w:color w:val="000000"/>
                <w:sz w:val="18"/>
                <w:szCs w:val="18"/>
              </w:rPr>
              <w:t>1440686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4B0D0C" w:rsidRPr="00B0342C" w:rsidRDefault="004B0D0C" w:rsidP="004B0D0C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b/>
                <w:color w:val="000000"/>
                <w:sz w:val="18"/>
                <w:szCs w:val="18"/>
              </w:rPr>
              <w:t>13795</w:t>
            </w:r>
          </w:p>
        </w:tc>
        <w:tc>
          <w:tcPr>
            <w:tcW w:w="109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B0D0C" w:rsidRPr="00B0342C" w:rsidRDefault="004B0D0C" w:rsidP="004B0D0C">
            <w:pPr>
              <w:ind w:right="17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342C">
              <w:rPr>
                <w:rFonts w:ascii="Arial" w:hAnsi="Arial" w:cs="Arial"/>
                <w:b/>
                <w:sz w:val="18"/>
                <w:szCs w:val="18"/>
              </w:rPr>
              <w:t>0.96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hideMark/>
          </w:tcPr>
          <w:p w:rsidR="004B0D0C" w:rsidRPr="00B0342C" w:rsidRDefault="004B0D0C" w:rsidP="004B0D0C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b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4B0D0C" w:rsidRPr="00B0342C" w:rsidRDefault="004B0D0C" w:rsidP="004B0D0C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4B0D0C" w:rsidRPr="00B0342C" w:rsidRDefault="004B0D0C" w:rsidP="004B0D0C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b/>
                <w:color w:val="000000"/>
                <w:sz w:val="18"/>
                <w:szCs w:val="18"/>
              </w:rPr>
              <w:t>2.96</w:t>
            </w:r>
          </w:p>
        </w:tc>
      </w:tr>
      <w:tr w:rsidR="004B0D0C" w:rsidRPr="00B0342C" w:rsidTr="00A033C4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B0D0C" w:rsidRPr="00B0342C" w:rsidRDefault="004B0D0C" w:rsidP="004B0D0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SRBIJA – SEVER 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hideMark/>
          </w:tcPr>
          <w:p w:rsidR="004B0D0C" w:rsidRPr="00B0342C" w:rsidRDefault="004B0D0C" w:rsidP="004B0D0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958113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B0D0C" w:rsidRPr="00B0342C" w:rsidRDefault="004B0D0C" w:rsidP="004B0D0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13699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B0D0C" w:rsidRPr="00B0342C" w:rsidRDefault="004B0D0C" w:rsidP="004B0D0C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hideMark/>
          </w:tcPr>
          <w:p w:rsidR="004B0D0C" w:rsidRPr="00B0342C" w:rsidRDefault="004B0D0C" w:rsidP="004B0D0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B0D0C" w:rsidRPr="00B0342C" w:rsidRDefault="004B0D0C" w:rsidP="004B0D0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B0D0C" w:rsidRPr="00B0342C" w:rsidRDefault="004B0D0C" w:rsidP="004B0D0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3.33</w:t>
            </w:r>
          </w:p>
        </w:tc>
      </w:tr>
      <w:tr w:rsidR="004B0D0C" w:rsidRPr="00B0342C" w:rsidTr="00A033C4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B0D0C" w:rsidRPr="00B0342C" w:rsidRDefault="004B0D0C" w:rsidP="004B0D0C">
            <w:pPr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 xml:space="preserve">SRBIJA – JUG 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hideMark/>
          </w:tcPr>
          <w:p w:rsidR="004B0D0C" w:rsidRPr="00B0342C" w:rsidRDefault="004B0D0C" w:rsidP="004B0D0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482573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B0D0C" w:rsidRPr="00B0342C" w:rsidRDefault="004B0D0C" w:rsidP="004B0D0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B0D0C" w:rsidRPr="00B0342C" w:rsidRDefault="004B0D0C" w:rsidP="004B0D0C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hideMark/>
          </w:tcPr>
          <w:p w:rsidR="004B0D0C" w:rsidRPr="00B0342C" w:rsidRDefault="004B0D0C" w:rsidP="004B0D0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B0D0C" w:rsidRPr="00B0342C" w:rsidRDefault="004B0D0C" w:rsidP="004B0D0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B0D0C" w:rsidRPr="00B0342C" w:rsidRDefault="004B0D0C" w:rsidP="004B0D0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5.60</w:t>
            </w:r>
          </w:p>
        </w:tc>
      </w:tr>
    </w:tbl>
    <w:p w:rsidR="00790180" w:rsidRPr="00B0342C" w:rsidRDefault="00790180" w:rsidP="00790180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18"/>
          <w:szCs w:val="18"/>
          <w:lang w:val="sr-Latn-RS"/>
        </w:rPr>
      </w:pPr>
    </w:p>
    <w:p w:rsidR="00790180" w:rsidRDefault="00790180" w:rsidP="00790180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18"/>
          <w:szCs w:val="18"/>
          <w:lang w:val="sr-Latn-RS"/>
        </w:rPr>
      </w:pPr>
    </w:p>
    <w:p w:rsidR="00B0342C" w:rsidRDefault="00B0342C" w:rsidP="00790180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18"/>
          <w:szCs w:val="18"/>
          <w:lang w:val="sr-Latn-RS"/>
        </w:rPr>
      </w:pPr>
    </w:p>
    <w:p w:rsidR="00B0342C" w:rsidRDefault="00B0342C" w:rsidP="00790180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18"/>
          <w:szCs w:val="18"/>
          <w:lang w:val="sr-Latn-RS"/>
        </w:rPr>
      </w:pPr>
    </w:p>
    <w:p w:rsidR="00B0342C" w:rsidRPr="00B0342C" w:rsidRDefault="00B0342C" w:rsidP="00790180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18"/>
          <w:szCs w:val="18"/>
          <w:lang w:val="sr-Latn-RS"/>
        </w:rPr>
      </w:pPr>
    </w:p>
    <w:p w:rsidR="00790180" w:rsidRPr="00B0342C" w:rsidRDefault="00790180" w:rsidP="00790180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lang w:val="sr-Latn-RS"/>
        </w:rPr>
      </w:pPr>
    </w:p>
    <w:p w:rsidR="00790180" w:rsidRPr="00B0342C" w:rsidRDefault="00790180" w:rsidP="00790180">
      <w:pPr>
        <w:autoSpaceDE w:val="0"/>
        <w:autoSpaceDN w:val="0"/>
        <w:adjustRightInd w:val="0"/>
        <w:spacing w:after="60"/>
        <w:contextualSpacing/>
        <w:jc w:val="center"/>
        <w:rPr>
          <w:rFonts w:ascii="Arial" w:eastAsia="SymbolMT" w:hAnsi="Arial" w:cs="Arial"/>
          <w:lang w:val="sr-Cyrl-RS"/>
        </w:rPr>
      </w:pPr>
      <w:r w:rsidRPr="00B0342C">
        <w:rPr>
          <w:rFonts w:ascii="Arial" w:eastAsia="SymbolMT" w:hAnsi="Arial" w:cs="Arial"/>
          <w:b/>
          <w:lang w:val="sr-Cyrl-RS"/>
        </w:rPr>
        <w:t>Таble</w:t>
      </w:r>
      <w:r w:rsidR="00B0342C" w:rsidRPr="00B0342C">
        <w:rPr>
          <w:rFonts w:ascii="Arial" w:eastAsia="SymbolMT" w:hAnsi="Arial" w:cs="Arial"/>
          <w:b/>
          <w:lang w:val="en-US"/>
        </w:rPr>
        <w:t xml:space="preserve"> 2</w:t>
      </w:r>
      <w:r w:rsidRPr="00B0342C">
        <w:rPr>
          <w:rFonts w:ascii="Arial" w:eastAsia="SymbolMT" w:hAnsi="Arial" w:cs="Arial"/>
          <w:b/>
          <w:lang w:val="sr-Cyrl-RS"/>
        </w:rPr>
        <w:t>.</w:t>
      </w:r>
      <w:r w:rsidRPr="00B0342C">
        <w:rPr>
          <w:rFonts w:ascii="Arial" w:eastAsia="SymbolMT" w:hAnsi="Arial" w:cs="Arial"/>
          <w:lang w:val="ru-RU"/>
        </w:rPr>
        <w:t xml:space="preserve"> </w:t>
      </w:r>
      <w:r w:rsidRPr="00B0342C">
        <w:rPr>
          <w:rFonts w:ascii="Arial" w:eastAsia="SymbolMT" w:hAnsi="Arial" w:cs="Arial"/>
          <w:lang w:val="sr-Cyrl-RS"/>
        </w:rPr>
        <w:t>Estimates</w:t>
      </w:r>
      <w:r w:rsidR="004B0D0C" w:rsidRPr="00B0342C">
        <w:rPr>
          <w:rFonts w:ascii="Arial" w:eastAsia="SymbolMT" w:hAnsi="Arial" w:cs="Arial"/>
          <w:lang w:val="sr-Cyrl-RS"/>
        </w:rPr>
        <w:t>.</w:t>
      </w:r>
      <w:r w:rsidRPr="00B0342C">
        <w:rPr>
          <w:rFonts w:ascii="Arial" w:eastAsia="SymbolMT" w:hAnsi="Arial" w:cs="Arial"/>
          <w:lang w:val="sr-Cyrl-RS"/>
        </w:rPr>
        <w:t xml:space="preserve"> standard errors and </w:t>
      </w:r>
      <w:r w:rsidRPr="00B0342C">
        <w:rPr>
          <w:rFonts w:ascii="Arial" w:hAnsi="Arial" w:cs="Arial"/>
          <w:lang w:val="sr-Cyrl-RS"/>
        </w:rPr>
        <w:t>CV</w:t>
      </w:r>
      <w:r w:rsidRPr="00B0342C">
        <w:rPr>
          <w:rFonts w:ascii="Arial" w:eastAsia="SymbolMT" w:hAnsi="Arial" w:cs="Arial"/>
          <w:lang w:val="sr-Cyrl-RS"/>
        </w:rPr>
        <w:t xml:space="preserve"> of annual labour costs and hourly labour costs</w:t>
      </w:r>
      <w:r w:rsidR="004B0D0C" w:rsidRPr="00B0342C">
        <w:rPr>
          <w:rFonts w:ascii="Arial" w:eastAsia="SymbolMT" w:hAnsi="Arial" w:cs="Arial"/>
          <w:lang w:val="sr-Cyrl-RS"/>
        </w:rPr>
        <w:t>.</w:t>
      </w:r>
      <w:r w:rsidRPr="00B0342C">
        <w:rPr>
          <w:rFonts w:ascii="Arial" w:eastAsia="SymbolMT" w:hAnsi="Arial" w:cs="Arial"/>
          <w:lang w:val="sr-Cyrl-RS"/>
        </w:rPr>
        <w:t xml:space="preserve"> </w:t>
      </w:r>
      <w:r w:rsidRPr="00B0342C">
        <w:rPr>
          <w:rFonts w:ascii="Arial" w:eastAsia="SymbolMT" w:hAnsi="Arial" w:cs="Arial"/>
          <w:lang w:val="en-US"/>
        </w:rPr>
        <w:t xml:space="preserve">                                                                                </w:t>
      </w:r>
      <w:r w:rsidRPr="00B0342C">
        <w:rPr>
          <w:rFonts w:ascii="Arial" w:eastAsia="SymbolMT" w:hAnsi="Arial" w:cs="Arial"/>
          <w:lang w:val="sr-Cyrl-RS"/>
        </w:rPr>
        <w:t>by CA (2010) section</w:t>
      </w:r>
      <w:r w:rsidR="004B0D0C" w:rsidRPr="00B0342C">
        <w:rPr>
          <w:rFonts w:ascii="Arial" w:eastAsia="SymbolMT" w:hAnsi="Arial" w:cs="Arial"/>
          <w:lang w:val="sr-Cyrl-RS"/>
        </w:rPr>
        <w:t>.</w:t>
      </w:r>
      <w:r w:rsidRPr="00B0342C">
        <w:rPr>
          <w:rFonts w:ascii="Arial" w:eastAsia="SymbolMT" w:hAnsi="Arial" w:cs="Arial"/>
          <w:lang w:val="sr-Cyrl-RS"/>
        </w:rPr>
        <w:t xml:space="preserve"> LCS 2016</w:t>
      </w:r>
    </w:p>
    <w:tbl>
      <w:tblPr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1"/>
        <w:gridCol w:w="1012"/>
        <w:gridCol w:w="1181"/>
        <w:gridCol w:w="1098"/>
        <w:gridCol w:w="1181"/>
        <w:gridCol w:w="1181"/>
        <w:gridCol w:w="1181"/>
      </w:tblGrid>
      <w:tr w:rsidR="00790180" w:rsidRPr="00B0342C" w:rsidTr="00192432">
        <w:trPr>
          <w:trHeight w:val="340"/>
          <w:jc w:val="center"/>
        </w:trPr>
        <w:tc>
          <w:tcPr>
            <w:tcW w:w="167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90180" w:rsidRPr="00B0342C" w:rsidRDefault="00790180" w:rsidP="001924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CA (2010) section</w:t>
            </w:r>
          </w:p>
        </w:tc>
        <w:tc>
          <w:tcPr>
            <w:tcW w:w="3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90180" w:rsidRPr="00B0342C" w:rsidRDefault="00790180" w:rsidP="001924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Annual labour costs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90180" w:rsidRPr="00B0342C" w:rsidRDefault="00790180" w:rsidP="0019243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Hourly labour costs</w:t>
            </w:r>
          </w:p>
        </w:tc>
      </w:tr>
      <w:tr w:rsidR="00790180" w:rsidRPr="00B0342C" w:rsidTr="00192432">
        <w:trPr>
          <w:trHeight w:val="340"/>
          <w:jc w:val="center"/>
        </w:trPr>
        <w:tc>
          <w:tcPr>
            <w:tcW w:w="167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0180" w:rsidRPr="00B0342C" w:rsidRDefault="00790180" w:rsidP="001924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90180" w:rsidRPr="00B0342C" w:rsidRDefault="00790180" w:rsidP="0019243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Estimate</w:t>
            </w:r>
            <w:r w:rsidR="00C14FF9"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(in mill.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en-US"/>
              </w:rPr>
              <w:t>RSD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90180" w:rsidRPr="00B0342C" w:rsidRDefault="00790180" w:rsidP="0019243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Standard error</w:t>
            </w:r>
            <w:r w:rsidR="00C14FF9"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(in mill. RSD)</w:t>
            </w:r>
          </w:p>
        </w:tc>
        <w:tc>
          <w:tcPr>
            <w:tcW w:w="10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90180" w:rsidRPr="00B0342C" w:rsidRDefault="00790180" w:rsidP="001924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>CV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90180" w:rsidRPr="00B0342C" w:rsidRDefault="00790180" w:rsidP="0019243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Estimate</w:t>
            </w:r>
            <w:r w:rsidR="00C14FF9"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      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90180" w:rsidRPr="00B0342C" w:rsidRDefault="00790180" w:rsidP="0019243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Standard error</w:t>
            </w:r>
            <w:r w:rsidR="00C14FF9"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90180" w:rsidRPr="00B0342C" w:rsidRDefault="00790180" w:rsidP="001924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>CV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(%)</w:t>
            </w:r>
          </w:p>
        </w:tc>
      </w:tr>
      <w:tr w:rsidR="00790180" w:rsidRPr="00B0342C" w:rsidTr="00192432">
        <w:trPr>
          <w:trHeight w:val="340"/>
          <w:jc w:val="center"/>
        </w:trPr>
        <w:tc>
          <w:tcPr>
            <w:tcW w:w="167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0180" w:rsidRPr="00B0342C" w:rsidRDefault="00790180" w:rsidP="0019243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0180" w:rsidRPr="00B0342C" w:rsidRDefault="00790180" w:rsidP="0019243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0180" w:rsidRPr="00B0342C" w:rsidRDefault="00790180" w:rsidP="0019243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0180" w:rsidRPr="00B0342C" w:rsidRDefault="00790180" w:rsidP="0019243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0180" w:rsidRPr="00B0342C" w:rsidRDefault="00790180" w:rsidP="0019243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0180" w:rsidRPr="00B0342C" w:rsidRDefault="00790180" w:rsidP="0019243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790180" w:rsidRPr="00B0342C" w:rsidRDefault="00790180" w:rsidP="001924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84E84" w:rsidRPr="00B0342C" w:rsidTr="008F2B2B">
        <w:trPr>
          <w:trHeight w:val="284"/>
          <w:jc w:val="center"/>
        </w:trPr>
        <w:tc>
          <w:tcPr>
            <w:tcW w:w="167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034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b/>
                <w:color w:val="000000"/>
                <w:sz w:val="18"/>
                <w:szCs w:val="18"/>
              </w:rPr>
              <w:t>1440686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b/>
                <w:color w:val="000000"/>
                <w:sz w:val="18"/>
                <w:szCs w:val="18"/>
              </w:rPr>
              <w:t>13795</w:t>
            </w:r>
          </w:p>
        </w:tc>
        <w:tc>
          <w:tcPr>
            <w:tcW w:w="109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342C">
              <w:rPr>
                <w:rFonts w:ascii="Arial" w:hAnsi="Arial" w:cs="Arial"/>
                <w:b/>
                <w:sz w:val="18"/>
                <w:szCs w:val="18"/>
              </w:rPr>
              <w:t>0.96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0342C">
              <w:rPr>
                <w:rFonts w:ascii="Arial" w:hAnsi="Arial" w:cs="Arial"/>
                <w:b/>
                <w:sz w:val="18"/>
                <w:szCs w:val="18"/>
              </w:rPr>
              <w:t>619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RANGE!J6"/>
            <w:r w:rsidRPr="00B0342C">
              <w:rPr>
                <w:rFonts w:ascii="Arial" w:hAnsi="Arial" w:cs="Arial"/>
                <w:b/>
                <w:sz w:val="18"/>
                <w:szCs w:val="18"/>
              </w:rPr>
              <w:t>18</w:t>
            </w:r>
            <w:bookmarkEnd w:id="1"/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342C">
              <w:rPr>
                <w:rFonts w:ascii="Arial" w:hAnsi="Arial" w:cs="Arial"/>
                <w:b/>
                <w:sz w:val="18"/>
                <w:szCs w:val="18"/>
              </w:rPr>
              <w:t>2.96</w:t>
            </w:r>
          </w:p>
        </w:tc>
      </w:tr>
      <w:tr w:rsidR="00984E84" w:rsidRPr="00B0342C" w:rsidTr="008F2B2B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24156</w:t>
            </w:r>
          </w:p>
        </w:tc>
        <w:tc>
          <w:tcPr>
            <w:tcW w:w="1181" w:type="dxa"/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5.03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</w:tr>
      <w:tr w:rsidR="00984E84" w:rsidRPr="00B0342C" w:rsidTr="008F2B2B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35269</w:t>
            </w:r>
          </w:p>
        </w:tc>
        <w:tc>
          <w:tcPr>
            <w:tcW w:w="1181" w:type="dxa"/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</w:tr>
      <w:tr w:rsidR="00984E84" w:rsidRPr="00B0342C" w:rsidTr="008F2B2B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287895</w:t>
            </w:r>
          </w:p>
        </w:tc>
        <w:tc>
          <w:tcPr>
            <w:tcW w:w="1181" w:type="dxa"/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5397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</w:tr>
      <w:tr w:rsidR="00984E84" w:rsidRPr="00B0342C" w:rsidTr="008F2B2B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52947</w:t>
            </w:r>
          </w:p>
        </w:tc>
        <w:tc>
          <w:tcPr>
            <w:tcW w:w="1181" w:type="dxa"/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1064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</w:tr>
      <w:tr w:rsidR="00984E84" w:rsidRPr="00B0342C" w:rsidTr="008F2B2B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32364</w:t>
            </w:r>
          </w:p>
        </w:tc>
        <w:tc>
          <w:tcPr>
            <w:tcW w:w="1181" w:type="dxa"/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3.97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1.94</w:t>
            </w:r>
          </w:p>
        </w:tc>
      </w:tr>
      <w:tr w:rsidR="00984E84" w:rsidRPr="00B0342C" w:rsidTr="008F2B2B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54665</w:t>
            </w:r>
          </w:p>
        </w:tc>
        <w:tc>
          <w:tcPr>
            <w:tcW w:w="1181" w:type="dxa"/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2375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</w:tr>
      <w:tr w:rsidR="00984E84" w:rsidRPr="00B0342C" w:rsidTr="008F2B2B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145335</w:t>
            </w:r>
          </w:p>
        </w:tc>
        <w:tc>
          <w:tcPr>
            <w:tcW w:w="1181" w:type="dxa"/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4.92</w:t>
            </w:r>
          </w:p>
        </w:tc>
      </w:tr>
      <w:tr w:rsidR="00984E84" w:rsidRPr="00B0342C" w:rsidTr="008F2B2B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72864</w:t>
            </w:r>
          </w:p>
        </w:tc>
        <w:tc>
          <w:tcPr>
            <w:tcW w:w="1181" w:type="dxa"/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9.87</w:t>
            </w:r>
          </w:p>
        </w:tc>
      </w:tr>
      <w:tr w:rsidR="00984E84" w:rsidRPr="00B0342C" w:rsidTr="008F2B2B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15955</w:t>
            </w:r>
          </w:p>
        </w:tc>
        <w:tc>
          <w:tcPr>
            <w:tcW w:w="1181" w:type="dxa"/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</w:tr>
      <w:tr w:rsidR="00984E84" w:rsidRPr="00B0342C" w:rsidTr="008F2B2B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66934</w:t>
            </w:r>
          </w:p>
        </w:tc>
        <w:tc>
          <w:tcPr>
            <w:tcW w:w="1181" w:type="dxa"/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4115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980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</w:tr>
      <w:tr w:rsidR="00984E84" w:rsidRPr="00B0342C" w:rsidTr="008F2B2B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68339</w:t>
            </w:r>
          </w:p>
        </w:tc>
        <w:tc>
          <w:tcPr>
            <w:tcW w:w="1181" w:type="dxa"/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2.05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1166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</w:tr>
      <w:tr w:rsidR="00984E84" w:rsidRPr="00B0342C" w:rsidTr="008F2B2B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3172</w:t>
            </w:r>
          </w:p>
        </w:tc>
        <w:tc>
          <w:tcPr>
            <w:tcW w:w="1181" w:type="dxa"/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7.08</w:t>
            </w:r>
          </w:p>
        </w:tc>
      </w:tr>
      <w:tr w:rsidR="00984E84" w:rsidRPr="00B0342C" w:rsidTr="008F2B2B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70339</w:t>
            </w:r>
          </w:p>
        </w:tc>
        <w:tc>
          <w:tcPr>
            <w:tcW w:w="1181" w:type="dxa"/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4165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5.92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967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</w:tr>
      <w:tr w:rsidR="00984E84" w:rsidRPr="00B0342C" w:rsidTr="008F2B2B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52259</w:t>
            </w:r>
          </w:p>
        </w:tc>
        <w:tc>
          <w:tcPr>
            <w:tcW w:w="1181" w:type="dxa"/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</w:tr>
      <w:tr w:rsidR="00984E84" w:rsidRPr="00B0342C" w:rsidTr="008F2B2B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188798</w:t>
            </w:r>
          </w:p>
        </w:tc>
        <w:tc>
          <w:tcPr>
            <w:tcW w:w="1181" w:type="dxa"/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3181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984E84" w:rsidRPr="00B0342C" w:rsidTr="008F2B2B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112566</w:t>
            </w:r>
          </w:p>
        </w:tc>
        <w:tc>
          <w:tcPr>
            <w:tcW w:w="1181" w:type="dxa"/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</w:tr>
      <w:tr w:rsidR="00984E84" w:rsidRPr="00B0342C" w:rsidTr="008F2B2B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Q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130459</w:t>
            </w:r>
          </w:p>
        </w:tc>
        <w:tc>
          <w:tcPr>
            <w:tcW w:w="1181" w:type="dxa"/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596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</w:tr>
      <w:tr w:rsidR="00984E84" w:rsidRPr="00B0342C" w:rsidTr="008F2B2B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19956</w:t>
            </w:r>
          </w:p>
        </w:tc>
        <w:tc>
          <w:tcPr>
            <w:tcW w:w="1181" w:type="dxa"/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</w:tr>
      <w:tr w:rsidR="00984E84" w:rsidRPr="00B0342C" w:rsidTr="008F2B2B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6414</w:t>
            </w:r>
          </w:p>
        </w:tc>
        <w:tc>
          <w:tcPr>
            <w:tcW w:w="1181" w:type="dxa"/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984E84" w:rsidRPr="00B0342C" w:rsidRDefault="00984E84" w:rsidP="00984E84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84E84" w:rsidRPr="00B0342C" w:rsidRDefault="00984E84" w:rsidP="00984E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</w:tr>
    </w:tbl>
    <w:p w:rsidR="00790180" w:rsidRPr="00B0342C" w:rsidRDefault="00790180" w:rsidP="00790180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sz w:val="18"/>
          <w:szCs w:val="18"/>
          <w:lang w:val="sr-Latn-RS"/>
        </w:rPr>
      </w:pPr>
    </w:p>
    <w:p w:rsidR="00B0342C" w:rsidRPr="00B0342C" w:rsidRDefault="00B0342C" w:rsidP="00790180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sz w:val="18"/>
          <w:szCs w:val="18"/>
          <w:lang w:val="sr-Latn-RS"/>
        </w:rPr>
      </w:pPr>
    </w:p>
    <w:p w:rsidR="00B0342C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</w:p>
    <w:p w:rsidR="00B0342C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</w:p>
    <w:p w:rsidR="00B0342C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</w:p>
    <w:p w:rsidR="00B0342C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</w:p>
    <w:p w:rsidR="00B0342C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</w:p>
    <w:p w:rsidR="00B0342C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</w:p>
    <w:p w:rsidR="00B0342C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</w:p>
    <w:p w:rsidR="00B0342C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</w:p>
    <w:p w:rsidR="00B0342C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</w:p>
    <w:p w:rsidR="00B0342C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</w:p>
    <w:p w:rsidR="00B0342C" w:rsidRPr="0040707E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lang w:val="sr-Cyrl-RS"/>
        </w:rPr>
      </w:pPr>
    </w:p>
    <w:p w:rsidR="00B0342C" w:rsidRPr="0040707E" w:rsidRDefault="00B0342C" w:rsidP="00B0342C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lang w:val="sr-Cyrl-RS"/>
        </w:rPr>
      </w:pPr>
      <w:r w:rsidRPr="0040707E">
        <w:rPr>
          <w:rFonts w:ascii="Arial" w:eastAsia="SymbolMT" w:hAnsi="Arial" w:cs="Arial"/>
          <w:b/>
          <w:lang w:val="sr-Cyrl-RS"/>
        </w:rPr>
        <w:t>Таble 3.</w:t>
      </w:r>
      <w:r w:rsidRPr="0040707E">
        <w:rPr>
          <w:rFonts w:ascii="Arial" w:eastAsia="SymbolMT" w:hAnsi="Arial" w:cs="Arial"/>
          <w:lang w:val="sr-Cyrl-RS"/>
        </w:rPr>
        <w:t xml:space="preserve"> Estimates, standard errors  and CV of annual labour costs and hourly labour costs, </w:t>
      </w:r>
      <w:r w:rsidRPr="0040707E">
        <w:rPr>
          <w:rFonts w:ascii="Arial" w:eastAsia="SymbolMT" w:hAnsi="Arial" w:cs="Arial"/>
          <w:lang w:val="en-US"/>
        </w:rPr>
        <w:t xml:space="preserve">                                                                                  </w:t>
      </w:r>
      <w:r w:rsidRPr="0040707E">
        <w:rPr>
          <w:rFonts w:ascii="Arial" w:eastAsia="SymbolMT" w:hAnsi="Arial" w:cs="Arial"/>
          <w:lang w:val="sr-Cyrl-RS"/>
        </w:rPr>
        <w:t xml:space="preserve">by size classes of </w:t>
      </w:r>
      <w:r w:rsidRPr="0040707E">
        <w:rPr>
          <w:rFonts w:ascii="Arial" w:eastAsia="SymbolMT" w:hAnsi="Arial" w:cs="Arial"/>
          <w:lang w:val="en-US"/>
        </w:rPr>
        <w:t xml:space="preserve"> enterprises</w:t>
      </w:r>
      <w:r w:rsidR="00887A15">
        <w:rPr>
          <w:rFonts w:ascii="Arial" w:eastAsia="SymbolMT" w:hAnsi="Arial" w:cs="Arial"/>
          <w:lang w:val="sr-Cyrl-RS"/>
        </w:rPr>
        <w:t>, LCS 201</w:t>
      </w:r>
      <w:r w:rsidR="00887A15">
        <w:rPr>
          <w:rFonts w:ascii="Arial" w:eastAsia="SymbolMT" w:hAnsi="Arial" w:cs="Arial"/>
          <w:lang w:val="en-US"/>
        </w:rPr>
        <w:t>6</w:t>
      </w:r>
      <w:r w:rsidRPr="0040707E">
        <w:rPr>
          <w:rFonts w:ascii="Arial" w:eastAsia="SymbolMT" w:hAnsi="Arial" w:cs="Arial"/>
          <w:lang w:val="sr-Cyrl-RS"/>
        </w:rPr>
        <w:t xml:space="preserve">. </w:t>
      </w:r>
    </w:p>
    <w:p w:rsidR="00B0342C" w:rsidRPr="00B0342C" w:rsidRDefault="00B0342C" w:rsidP="00790180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sz w:val="18"/>
          <w:szCs w:val="18"/>
          <w:lang w:val="sr-Latn-RS"/>
        </w:rPr>
      </w:pPr>
    </w:p>
    <w:tbl>
      <w:tblPr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1"/>
        <w:gridCol w:w="1012"/>
        <w:gridCol w:w="1181"/>
        <w:gridCol w:w="1098"/>
        <w:gridCol w:w="1181"/>
        <w:gridCol w:w="1181"/>
        <w:gridCol w:w="1181"/>
      </w:tblGrid>
      <w:tr w:rsidR="00B0342C" w:rsidRPr="00B0342C" w:rsidTr="00CB729B">
        <w:trPr>
          <w:trHeight w:val="340"/>
          <w:jc w:val="center"/>
        </w:trPr>
        <w:tc>
          <w:tcPr>
            <w:tcW w:w="167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0342C" w:rsidRPr="00B0342C" w:rsidRDefault="00B0342C" w:rsidP="00CB7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Class size of  enterprises</w:t>
            </w:r>
          </w:p>
        </w:tc>
        <w:tc>
          <w:tcPr>
            <w:tcW w:w="3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342C" w:rsidRPr="00B0342C" w:rsidRDefault="00B0342C" w:rsidP="00CB7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Annual labour costs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342C" w:rsidRPr="00B0342C" w:rsidRDefault="00B0342C" w:rsidP="00CB7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Hourly labour costs</w:t>
            </w:r>
          </w:p>
        </w:tc>
      </w:tr>
      <w:tr w:rsidR="00B0342C" w:rsidRPr="00B0342C" w:rsidTr="00CB729B">
        <w:trPr>
          <w:trHeight w:val="340"/>
          <w:jc w:val="center"/>
        </w:trPr>
        <w:tc>
          <w:tcPr>
            <w:tcW w:w="167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342C" w:rsidRPr="00B0342C" w:rsidRDefault="00B0342C" w:rsidP="00CB7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0342C" w:rsidRPr="00B0342C" w:rsidRDefault="00B0342C" w:rsidP="00CB7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Estimate</w:t>
            </w:r>
            <w:r w:rsidR="00C14FF9"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(in mill.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RSD)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0342C" w:rsidRPr="00B0342C" w:rsidRDefault="00B0342C" w:rsidP="00CB7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Standard error</w:t>
            </w:r>
            <w:r w:rsidR="00C14FF9"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</w:t>
            </w:r>
          </w:p>
        </w:tc>
        <w:tc>
          <w:tcPr>
            <w:tcW w:w="10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0342C" w:rsidRPr="00B0342C" w:rsidRDefault="00B0342C" w:rsidP="00CB7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>CV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0342C" w:rsidRPr="00B0342C" w:rsidRDefault="00B0342C" w:rsidP="00CB7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Estimate</w:t>
            </w:r>
            <w:r w:rsidR="00C14FF9"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   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(in mill.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RSD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0342C" w:rsidRPr="00B0342C" w:rsidRDefault="00B0342C" w:rsidP="00CB7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Standard error</w:t>
            </w:r>
            <w:r w:rsidR="00C14FF9"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</w:t>
            </w:r>
            <w:r w:rsidRPr="00B034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0342C" w:rsidRPr="00B0342C" w:rsidRDefault="00B0342C" w:rsidP="00CB7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>CV</w:t>
            </w:r>
            <w:r w:rsidRPr="00B0342C">
              <w:rPr>
                <w:rFonts w:ascii="Arial" w:hAnsi="Arial" w:cs="Arial"/>
                <w:bCs/>
                <w:sz w:val="18"/>
                <w:szCs w:val="18"/>
              </w:rPr>
              <w:t xml:space="preserve"> (%)</w:t>
            </w:r>
          </w:p>
        </w:tc>
      </w:tr>
      <w:tr w:rsidR="00B0342C" w:rsidRPr="00B0342C" w:rsidTr="00CB729B">
        <w:trPr>
          <w:trHeight w:val="340"/>
          <w:jc w:val="center"/>
        </w:trPr>
        <w:tc>
          <w:tcPr>
            <w:tcW w:w="167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342C" w:rsidRPr="00B0342C" w:rsidRDefault="00B0342C" w:rsidP="00CB729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342C" w:rsidRPr="00B0342C" w:rsidRDefault="00B0342C" w:rsidP="00CB729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342C" w:rsidRPr="00B0342C" w:rsidRDefault="00B0342C" w:rsidP="00CB729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342C" w:rsidRPr="00B0342C" w:rsidRDefault="00B0342C" w:rsidP="00CB729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342C" w:rsidRPr="00B0342C" w:rsidRDefault="00B0342C" w:rsidP="00CB729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342C" w:rsidRPr="00B0342C" w:rsidRDefault="00B0342C" w:rsidP="00CB729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B0342C" w:rsidRPr="00B0342C" w:rsidRDefault="00B0342C" w:rsidP="00CB7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0342C" w:rsidRPr="00B0342C" w:rsidTr="00FC5910">
        <w:trPr>
          <w:trHeight w:val="284"/>
          <w:jc w:val="center"/>
        </w:trPr>
        <w:tc>
          <w:tcPr>
            <w:tcW w:w="167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34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 w:rsidRPr="00B0342C">
              <w:rPr>
                <w:rFonts w:ascii="Arial" w:hAnsi="Arial" w:cs="Arial"/>
                <w:b/>
                <w:color w:val="000000"/>
                <w:sz w:val="18"/>
                <w:szCs w:val="18"/>
              </w:rPr>
              <w:t>1440686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b/>
                <w:color w:val="000000"/>
                <w:sz w:val="18"/>
                <w:szCs w:val="18"/>
              </w:rPr>
              <w:t>13795</w:t>
            </w:r>
          </w:p>
        </w:tc>
        <w:tc>
          <w:tcPr>
            <w:tcW w:w="109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B0342C">
              <w:rPr>
                <w:rFonts w:ascii="Arial" w:hAnsi="Arial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B0342C" w:rsidRPr="00B0342C" w:rsidRDefault="00B0342C" w:rsidP="00B0342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 w:rsidRPr="00B0342C">
              <w:rPr>
                <w:rFonts w:ascii="Arial" w:hAnsi="Arial" w:cs="Arial"/>
                <w:b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B0342C" w:rsidRPr="00B0342C" w:rsidRDefault="00B0342C" w:rsidP="00B0342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B0342C" w:rsidRPr="00B0342C" w:rsidRDefault="00B0342C" w:rsidP="00B0342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B0342C">
              <w:rPr>
                <w:rFonts w:ascii="Arial" w:hAnsi="Arial" w:cs="Arial"/>
                <w:b/>
                <w:color w:val="000000"/>
                <w:sz w:val="18"/>
                <w:szCs w:val="18"/>
              </w:rPr>
              <w:t>96</w:t>
            </w:r>
          </w:p>
        </w:tc>
      </w:tr>
      <w:tr w:rsidR="00B0342C" w:rsidRPr="00B0342C" w:rsidTr="00FC591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 xml:space="preserve"> 10</w:t>
            </w: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>–</w:t>
            </w:r>
            <w:r w:rsidRPr="00B0342C">
              <w:rPr>
                <w:rFonts w:ascii="Arial" w:hAnsi="Arial" w:cs="Arial"/>
                <w:sz w:val="18"/>
                <w:szCs w:val="18"/>
              </w:rPr>
              <w:t>49</w:t>
            </w: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250826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7634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0342C" w:rsidRPr="00B0342C" w:rsidRDefault="00B0342C" w:rsidP="00B03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B0342C" w:rsidRPr="00B0342C" w:rsidRDefault="00B0342C" w:rsidP="00B03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B0342C" w:rsidRPr="00B0342C" w:rsidRDefault="00B0342C" w:rsidP="00B03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B0342C" w:rsidRPr="00B0342C" w:rsidTr="00FC591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>–</w:t>
            </w:r>
            <w:r w:rsidRPr="00B0342C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383624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0342C" w:rsidRPr="00B0342C" w:rsidRDefault="00B0342C" w:rsidP="00B03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B0342C" w:rsidRPr="00B0342C" w:rsidRDefault="00B0342C" w:rsidP="00B03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B0342C" w:rsidRPr="00B0342C" w:rsidRDefault="00B0342C" w:rsidP="00B03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B0342C" w:rsidRPr="00B0342C" w:rsidTr="00FC591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 xml:space="preserve"> 250</w:t>
            </w: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>–</w:t>
            </w:r>
            <w:r w:rsidRPr="00B0342C"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156525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0342C" w:rsidRPr="00B0342C" w:rsidRDefault="00B0342C" w:rsidP="00B03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B0342C" w:rsidRPr="00B0342C" w:rsidRDefault="00B0342C" w:rsidP="00B03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B0342C" w:rsidRPr="00B0342C" w:rsidRDefault="00B0342C" w:rsidP="00B03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B0342C" w:rsidRPr="00B0342C" w:rsidTr="00FC591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 xml:space="preserve"> 500</w:t>
            </w: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>–</w:t>
            </w:r>
            <w:r w:rsidRPr="00B0342C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161128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0342C" w:rsidRPr="00B0342C" w:rsidRDefault="00B0342C" w:rsidP="00B03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B0342C" w:rsidRPr="00B0342C" w:rsidRDefault="00B0342C" w:rsidP="00B03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B0342C" w:rsidRPr="00B0342C" w:rsidRDefault="00B0342C" w:rsidP="00B03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B0342C" w:rsidRPr="00B0342C" w:rsidTr="00FC5910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rPr>
                <w:rFonts w:ascii="Arial" w:hAnsi="Arial" w:cs="Arial"/>
                <w:sz w:val="18"/>
                <w:szCs w:val="18"/>
              </w:rPr>
            </w:pPr>
            <w:r w:rsidRPr="00B0342C">
              <w:rPr>
                <w:rFonts w:ascii="Arial" w:hAnsi="Arial" w:cs="Arial"/>
                <w:sz w:val="18"/>
                <w:szCs w:val="18"/>
              </w:rPr>
              <w:t xml:space="preserve"> 1000 </w:t>
            </w:r>
            <w:r w:rsidRPr="00B034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and more 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488584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2366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B0342C" w:rsidRPr="00B0342C" w:rsidRDefault="00B0342C" w:rsidP="00B0342C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0342C" w:rsidRPr="00B0342C" w:rsidRDefault="00B0342C" w:rsidP="00B03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B0342C" w:rsidRPr="00B0342C" w:rsidRDefault="00B0342C" w:rsidP="00B03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B0342C" w:rsidRPr="00B0342C" w:rsidRDefault="00B0342C" w:rsidP="00B03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B0342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</w:tr>
    </w:tbl>
    <w:p w:rsidR="00692D86" w:rsidRPr="00B0342C" w:rsidRDefault="00692D86">
      <w:pPr>
        <w:rPr>
          <w:rFonts w:ascii="Arial" w:eastAsia="SymbolMT" w:hAnsi="Arial" w:cs="Arial"/>
          <w:b/>
          <w:sz w:val="18"/>
          <w:szCs w:val="18"/>
        </w:rPr>
      </w:pPr>
    </w:p>
    <w:sectPr w:rsidR="00692D86" w:rsidRPr="00B0342C" w:rsidSect="00C4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MT">
    <w:altName w:val="Thorndale Duospace WT J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41E39"/>
    <w:multiLevelType w:val="multilevel"/>
    <w:tmpl w:val="9A82EFD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/>
        <w:sz w:val="20"/>
      </w:rPr>
    </w:lvl>
    <w:lvl w:ilvl="1">
      <w:start w:val="1"/>
      <w:numFmt w:val="decimal"/>
      <w:pStyle w:val="Heading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86"/>
    <w:rsid w:val="0000707B"/>
    <w:rsid w:val="000125B2"/>
    <w:rsid w:val="00260F38"/>
    <w:rsid w:val="0040707E"/>
    <w:rsid w:val="004649CE"/>
    <w:rsid w:val="004802B8"/>
    <w:rsid w:val="004B0D0C"/>
    <w:rsid w:val="004D6D40"/>
    <w:rsid w:val="006875F3"/>
    <w:rsid w:val="00692D86"/>
    <w:rsid w:val="00745B83"/>
    <w:rsid w:val="00790180"/>
    <w:rsid w:val="007B6739"/>
    <w:rsid w:val="00855746"/>
    <w:rsid w:val="00887A15"/>
    <w:rsid w:val="008906BC"/>
    <w:rsid w:val="0094210D"/>
    <w:rsid w:val="00984E84"/>
    <w:rsid w:val="00B0342C"/>
    <w:rsid w:val="00C14FF9"/>
    <w:rsid w:val="00C4690C"/>
    <w:rsid w:val="00D957AC"/>
    <w:rsid w:val="00E35749"/>
    <w:rsid w:val="00E61883"/>
    <w:rsid w:val="00F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86373-C1BC-451B-9B72-9A1D09AA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D86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125B2"/>
    <w:pPr>
      <w:numPr>
        <w:numId w:val="10"/>
      </w:numPr>
      <w:pBdr>
        <w:bottom w:val="single" w:sz="4" w:space="1" w:color="auto"/>
      </w:pBdr>
      <w:spacing w:before="360" w:after="240"/>
      <w:ind w:right="23"/>
      <w:jc w:val="both"/>
      <w:outlineLvl w:val="0"/>
    </w:pPr>
    <w:rPr>
      <w:rFonts w:ascii="Tahoma" w:hAnsi="Tahoma" w:cs="Tahoma"/>
      <w:b/>
      <w:caps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125B2"/>
    <w:pPr>
      <w:keepNext/>
      <w:numPr>
        <w:ilvl w:val="1"/>
        <w:numId w:val="10"/>
      </w:numPr>
      <w:spacing w:before="240" w:after="120"/>
      <w:jc w:val="both"/>
      <w:outlineLvl w:val="1"/>
    </w:pPr>
    <w:rPr>
      <w:rFonts w:ascii="Tahoma" w:hAnsi="Tahoma" w:cs="Tahoma"/>
      <w:b/>
      <w:sz w:val="22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125B2"/>
    <w:pPr>
      <w:keepNext/>
      <w:numPr>
        <w:ilvl w:val="2"/>
        <w:numId w:val="10"/>
      </w:numPr>
      <w:spacing w:before="120" w:after="120"/>
      <w:outlineLvl w:val="2"/>
    </w:pPr>
    <w:rPr>
      <w:rFonts w:ascii="Tahoma" w:hAnsi="Tahoma"/>
      <w:b/>
      <w:i/>
      <w:szCs w:val="22"/>
      <w:lang w:val="fr-FR" w:eastAsia="en-GB"/>
    </w:rPr>
  </w:style>
  <w:style w:type="paragraph" w:styleId="Heading4">
    <w:name w:val="heading 4"/>
    <w:basedOn w:val="Normal"/>
    <w:next w:val="Normal"/>
    <w:link w:val="Heading4Char"/>
    <w:qFormat/>
    <w:rsid w:val="000125B2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/>
      <w:sz w:val="24"/>
      <w:szCs w:val="22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0125B2"/>
    <w:pPr>
      <w:numPr>
        <w:ilvl w:val="4"/>
        <w:numId w:val="10"/>
      </w:numPr>
      <w:spacing w:before="240" w:after="60"/>
      <w:outlineLvl w:val="4"/>
    </w:pPr>
    <w:rPr>
      <w:sz w:val="22"/>
      <w:szCs w:val="22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125B2"/>
    <w:pPr>
      <w:numPr>
        <w:ilvl w:val="5"/>
        <w:numId w:val="10"/>
      </w:numPr>
      <w:spacing w:before="240" w:after="60"/>
      <w:outlineLvl w:val="5"/>
    </w:pPr>
    <w:rPr>
      <w:i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0125B2"/>
    <w:pPr>
      <w:numPr>
        <w:ilvl w:val="6"/>
        <w:numId w:val="10"/>
      </w:numPr>
      <w:spacing w:before="240" w:after="60"/>
      <w:outlineLvl w:val="6"/>
    </w:pPr>
    <w:rPr>
      <w:rFonts w:ascii="Arial" w:hAnsi="Arial"/>
      <w:sz w:val="22"/>
      <w:szCs w:val="22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0125B2"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2"/>
      <w:szCs w:val="22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0125B2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5B2"/>
    <w:rPr>
      <w:rFonts w:ascii="Tahoma" w:hAnsi="Tahoma" w:cs="Tahoma"/>
      <w:b/>
      <w:caps/>
      <w:sz w:val="22"/>
      <w:szCs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0125B2"/>
    <w:rPr>
      <w:rFonts w:ascii="Tahoma" w:hAnsi="Tahoma" w:cs="Tahoma"/>
      <w:b/>
      <w:sz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0125B2"/>
    <w:rPr>
      <w:rFonts w:ascii="Tahoma" w:hAnsi="Tahoma"/>
      <w:b/>
      <w:i/>
      <w:szCs w:val="22"/>
      <w:lang w:val="fr-FR" w:eastAsia="en-GB"/>
    </w:rPr>
  </w:style>
  <w:style w:type="character" w:customStyle="1" w:styleId="Heading4Char">
    <w:name w:val="Heading 4 Char"/>
    <w:basedOn w:val="DefaultParagraphFont"/>
    <w:link w:val="Heading4"/>
    <w:rsid w:val="000125B2"/>
    <w:rPr>
      <w:rFonts w:ascii="Arial" w:hAnsi="Arial"/>
      <w:b/>
      <w:sz w:val="24"/>
      <w:szCs w:val="22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0125B2"/>
    <w:rPr>
      <w:sz w:val="22"/>
      <w:szCs w:val="22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0125B2"/>
    <w:rPr>
      <w:i/>
      <w:sz w:val="22"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0125B2"/>
    <w:rPr>
      <w:rFonts w:ascii="Arial" w:hAnsi="Arial"/>
      <w:sz w:val="22"/>
      <w:szCs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0125B2"/>
    <w:rPr>
      <w:rFonts w:ascii="Arial" w:hAnsi="Arial"/>
      <w:i/>
      <w:sz w:val="22"/>
      <w:szCs w:val="2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0125B2"/>
    <w:rPr>
      <w:rFonts w:ascii="Arial" w:hAnsi="Arial"/>
      <w:b/>
      <w:i/>
      <w:sz w:val="18"/>
      <w:szCs w:val="22"/>
      <w:lang w:val="en-GB" w:eastAsia="en-GB"/>
    </w:rPr>
  </w:style>
  <w:style w:type="paragraph" w:styleId="Caption">
    <w:name w:val="caption"/>
    <w:basedOn w:val="Normal"/>
    <w:next w:val="Normal"/>
    <w:qFormat/>
    <w:rsid w:val="000125B2"/>
    <w:pPr>
      <w:spacing w:before="720"/>
      <w:jc w:val="center"/>
    </w:pPr>
    <w:rPr>
      <w:rFonts w:ascii="Arial" w:hAnsi="Arial"/>
      <w:b/>
      <w:sz w:val="24"/>
      <w:szCs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0125B2"/>
    <w:pPr>
      <w:spacing w:after="480"/>
      <w:jc w:val="center"/>
    </w:pPr>
    <w:rPr>
      <w:b/>
      <w:kern w:val="28"/>
      <w:sz w:val="48"/>
      <w:lang w:eastAsia="en-GB"/>
    </w:rPr>
  </w:style>
  <w:style w:type="character" w:customStyle="1" w:styleId="TitleChar">
    <w:name w:val="Title Char"/>
    <w:basedOn w:val="DefaultParagraphFont"/>
    <w:link w:val="Title"/>
    <w:rsid w:val="000125B2"/>
    <w:rPr>
      <w:b/>
      <w:kern w:val="28"/>
      <w:sz w:val="48"/>
      <w:lang w:val="en-GB" w:eastAsia="en-GB"/>
    </w:rPr>
  </w:style>
  <w:style w:type="paragraph" w:styleId="Subtitle">
    <w:name w:val="Subtitle"/>
    <w:basedOn w:val="Normal"/>
    <w:link w:val="SubtitleChar"/>
    <w:qFormat/>
    <w:rsid w:val="000125B2"/>
    <w:pPr>
      <w:spacing w:after="60"/>
      <w:jc w:val="center"/>
      <w:outlineLvl w:val="1"/>
    </w:pPr>
    <w:rPr>
      <w:rFonts w:ascii="Arial" w:hAnsi="Arial"/>
      <w:sz w:val="24"/>
      <w:lang w:eastAsia="en-GB"/>
    </w:rPr>
  </w:style>
  <w:style w:type="character" w:customStyle="1" w:styleId="SubtitleChar">
    <w:name w:val="Subtitle Char"/>
    <w:basedOn w:val="DefaultParagraphFont"/>
    <w:link w:val="Subtitle"/>
    <w:rsid w:val="000125B2"/>
    <w:rPr>
      <w:rFonts w:ascii="Arial" w:hAnsi="Arial"/>
      <w:sz w:val="24"/>
      <w:lang w:val="en-GB" w:eastAsia="en-GB"/>
    </w:rPr>
  </w:style>
  <w:style w:type="character" w:styleId="Strong">
    <w:name w:val="Strong"/>
    <w:basedOn w:val="DefaultParagraphFont"/>
    <w:qFormat/>
    <w:rsid w:val="000125B2"/>
    <w:rPr>
      <w:b/>
      <w:bCs/>
    </w:rPr>
  </w:style>
  <w:style w:type="character" w:styleId="Emphasis">
    <w:name w:val="Emphasis"/>
    <w:basedOn w:val="DefaultParagraphFont"/>
    <w:qFormat/>
    <w:rsid w:val="000125B2"/>
    <w:rPr>
      <w:i/>
      <w:iCs/>
    </w:rPr>
  </w:style>
  <w:style w:type="paragraph" w:styleId="ListParagraph">
    <w:name w:val="List Paragraph"/>
    <w:basedOn w:val="Normal"/>
    <w:qFormat/>
    <w:rsid w:val="000125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unhideWhenUsed/>
    <w:qFormat/>
    <w:rsid w:val="000125B2"/>
    <w:pPr>
      <w:keepNext/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hAnsi="Cambria" w:cs="Times New Roman"/>
      <w:bCs/>
      <w:color w:val="365F91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julien.arcade</dc:creator>
  <cp:lastModifiedBy>Milijana Smiljkovic</cp:lastModifiedBy>
  <cp:revision>2</cp:revision>
  <dcterms:created xsi:type="dcterms:W3CDTF">2018-07-16T08:26:00Z</dcterms:created>
  <dcterms:modified xsi:type="dcterms:W3CDTF">2018-07-16T08:26:00Z</dcterms:modified>
</cp:coreProperties>
</file>