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7C" w:rsidRPr="001C4B79" w:rsidRDefault="00CA7D7C" w:rsidP="00CA7D7C">
      <w:pPr>
        <w:pStyle w:val="dragica"/>
        <w:numPr>
          <w:ilvl w:val="0"/>
          <w:numId w:val="2"/>
        </w:numPr>
        <w:spacing w:before="480"/>
        <w:ind w:left="714" w:hanging="357"/>
        <w:rPr>
          <w:rStyle w:val="hps"/>
          <w:rFonts w:ascii="Arial" w:hAnsi="Arial" w:cs="Arial"/>
          <w:sz w:val="20"/>
          <w:szCs w:val="20"/>
        </w:rPr>
      </w:pPr>
      <w:r w:rsidRPr="001C4B79">
        <w:rPr>
          <w:rStyle w:val="hps"/>
          <w:rFonts w:ascii="Arial" w:hAnsi="Arial" w:cs="Arial"/>
          <w:sz w:val="20"/>
          <w:szCs w:val="20"/>
        </w:rPr>
        <w:t xml:space="preserve">Coherence with the </w:t>
      </w:r>
      <w:proofErr w:type="spellStart"/>
      <w:r w:rsidRPr="001C4B79">
        <w:rPr>
          <w:rStyle w:val="hps"/>
          <w:rFonts w:ascii="Arial" w:hAnsi="Arial" w:cs="Arial"/>
          <w:sz w:val="20"/>
          <w:szCs w:val="20"/>
        </w:rPr>
        <w:t>Labour</w:t>
      </w:r>
      <w:proofErr w:type="spellEnd"/>
      <w:r w:rsidRPr="001C4B79">
        <w:rPr>
          <w:rStyle w:val="hps"/>
          <w:rFonts w:ascii="Arial" w:hAnsi="Arial" w:cs="Arial"/>
          <w:sz w:val="20"/>
          <w:szCs w:val="20"/>
        </w:rPr>
        <w:t xml:space="preserve"> Force Survey (LFS)</w:t>
      </w:r>
    </w:p>
    <w:p w:rsidR="00C17BC6" w:rsidRPr="001C4B79" w:rsidRDefault="00C17BC6" w:rsidP="009F5D1F">
      <w:pPr>
        <w:jc w:val="both"/>
        <w:rPr>
          <w:rFonts w:ascii="Arial" w:hAnsi="Arial" w:cs="Arial"/>
          <w:sz w:val="20"/>
          <w:szCs w:val="20"/>
        </w:rPr>
      </w:pPr>
      <w:r w:rsidRPr="001C4B79">
        <w:rPr>
          <w:rFonts w:ascii="Arial" w:hAnsi="Arial" w:cs="Arial"/>
          <w:sz w:val="20"/>
          <w:szCs w:val="20"/>
        </w:rPr>
        <w:t>The differences between the average hours actually worked from LCS and average</w:t>
      </w:r>
      <w:r w:rsidR="00DC5102" w:rsidRPr="001C4B79">
        <w:rPr>
          <w:rFonts w:ascii="Arial" w:hAnsi="Arial" w:cs="Arial"/>
          <w:sz w:val="20"/>
          <w:szCs w:val="20"/>
        </w:rPr>
        <w:t xml:space="preserve"> real </w:t>
      </w:r>
      <w:r w:rsidRPr="001C4B79">
        <w:rPr>
          <w:rFonts w:ascii="Arial" w:hAnsi="Arial" w:cs="Arial"/>
          <w:sz w:val="20"/>
          <w:szCs w:val="20"/>
        </w:rPr>
        <w:t xml:space="preserve">working hours on the main work from LFS in 2016 </w:t>
      </w:r>
      <w:r w:rsidR="003D2878" w:rsidRPr="001C4B79">
        <w:rPr>
          <w:rFonts w:ascii="Arial" w:hAnsi="Arial" w:cs="Arial"/>
          <w:sz w:val="20"/>
          <w:szCs w:val="20"/>
        </w:rPr>
        <w:t>were caused</w:t>
      </w:r>
      <w:r w:rsidRPr="001C4B79">
        <w:rPr>
          <w:rFonts w:ascii="Arial" w:hAnsi="Arial" w:cs="Arial"/>
          <w:sz w:val="20"/>
          <w:szCs w:val="20"/>
        </w:rPr>
        <w:t xml:space="preserve"> by differences in the methodology, i.e. definition of employees, </w:t>
      </w:r>
      <w:r w:rsidR="000905F8">
        <w:rPr>
          <w:rFonts w:ascii="Arial" w:hAnsi="Arial" w:cs="Arial"/>
          <w:sz w:val="20"/>
          <w:szCs w:val="20"/>
        </w:rPr>
        <w:t>survey</w:t>
      </w:r>
      <w:r w:rsidR="000905F8" w:rsidRPr="001C4B79">
        <w:rPr>
          <w:rFonts w:ascii="Arial" w:hAnsi="Arial" w:cs="Arial"/>
          <w:sz w:val="20"/>
          <w:szCs w:val="20"/>
        </w:rPr>
        <w:t xml:space="preserve"> </w:t>
      </w:r>
      <w:r w:rsidRPr="001C4B79">
        <w:rPr>
          <w:rFonts w:ascii="Arial" w:hAnsi="Arial" w:cs="Arial"/>
          <w:sz w:val="20"/>
          <w:szCs w:val="20"/>
        </w:rPr>
        <w:t xml:space="preserve">periods, scope of </w:t>
      </w:r>
      <w:r w:rsidR="000905F8">
        <w:rPr>
          <w:rFonts w:ascii="Arial" w:hAnsi="Arial" w:cs="Arial"/>
          <w:sz w:val="20"/>
          <w:szCs w:val="20"/>
        </w:rPr>
        <w:t>survey</w:t>
      </w:r>
      <w:r w:rsidRPr="001C4B7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C4B79">
        <w:rPr>
          <w:rFonts w:ascii="Arial" w:hAnsi="Arial" w:cs="Arial"/>
          <w:sz w:val="20"/>
          <w:szCs w:val="20"/>
        </w:rPr>
        <w:t>method</w:t>
      </w:r>
      <w:proofErr w:type="gramEnd"/>
      <w:r w:rsidRPr="001C4B79">
        <w:rPr>
          <w:rFonts w:ascii="Arial" w:hAnsi="Arial" w:cs="Arial"/>
          <w:sz w:val="20"/>
          <w:szCs w:val="20"/>
        </w:rPr>
        <w:t xml:space="preserve"> of data collection and unit of observation.</w:t>
      </w:r>
    </w:p>
    <w:p w:rsidR="00336F09" w:rsidRPr="001C4B79" w:rsidRDefault="00336F09" w:rsidP="00336F09">
      <w:pPr>
        <w:rPr>
          <w:rFonts w:ascii="Arial" w:hAnsi="Arial" w:cs="Arial"/>
          <w:b/>
          <w:sz w:val="20"/>
          <w:szCs w:val="20"/>
        </w:rPr>
      </w:pPr>
      <w:r w:rsidRPr="001C4B79">
        <w:rPr>
          <w:rFonts w:ascii="Arial" w:hAnsi="Arial" w:cs="Arial"/>
          <w:b/>
          <w:sz w:val="20"/>
          <w:szCs w:val="20"/>
        </w:rPr>
        <w:t>Definition of employees, scope of research.</w:t>
      </w:r>
    </w:p>
    <w:p w:rsidR="00FA69A9" w:rsidRPr="001C4B79" w:rsidRDefault="00AC7F2C" w:rsidP="00151DA3">
      <w:pPr>
        <w:numPr>
          <w:ilvl w:val="1"/>
          <w:numId w:val="3"/>
        </w:numPr>
        <w:tabs>
          <w:tab w:val="clear" w:pos="760"/>
          <w:tab w:val="num" w:pos="700"/>
        </w:tabs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C4B79">
        <w:rPr>
          <w:rFonts w:ascii="Arial" w:hAnsi="Arial" w:cs="Arial"/>
          <w:b/>
          <w:sz w:val="20"/>
          <w:szCs w:val="20"/>
        </w:rPr>
        <w:t xml:space="preserve">LFS </w:t>
      </w:r>
      <w:r w:rsidR="00151DA3" w:rsidRPr="001C4B79">
        <w:rPr>
          <w:rFonts w:ascii="Arial" w:hAnsi="Arial" w:cs="Arial"/>
          <w:bCs/>
          <w:sz w:val="20"/>
          <w:szCs w:val="20"/>
        </w:rPr>
        <w:t xml:space="preserve">covers whole </w:t>
      </w:r>
      <w:proofErr w:type="spellStart"/>
      <w:r w:rsidR="00151DA3" w:rsidRPr="001C4B79">
        <w:rPr>
          <w:rFonts w:ascii="Arial" w:hAnsi="Arial" w:cs="Arial"/>
          <w:bCs/>
          <w:sz w:val="20"/>
          <w:szCs w:val="20"/>
        </w:rPr>
        <w:t>labour</w:t>
      </w:r>
      <w:proofErr w:type="spellEnd"/>
      <w:r w:rsidR="00151DA3" w:rsidRPr="001C4B79">
        <w:rPr>
          <w:rFonts w:ascii="Arial" w:hAnsi="Arial" w:cs="Arial"/>
          <w:bCs/>
          <w:sz w:val="20"/>
          <w:szCs w:val="20"/>
        </w:rPr>
        <w:t xml:space="preserve"> market (formal and informal employment) </w:t>
      </w:r>
      <w:r w:rsidR="005C68BB" w:rsidRPr="001C4B79">
        <w:rPr>
          <w:rFonts w:ascii="Arial" w:hAnsi="Arial" w:cs="Arial"/>
          <w:bCs/>
          <w:sz w:val="20"/>
          <w:szCs w:val="20"/>
        </w:rPr>
        <w:t xml:space="preserve">in all </w:t>
      </w:r>
      <w:r w:rsidR="00823EDC" w:rsidRPr="001C4B79">
        <w:rPr>
          <w:rFonts w:ascii="Arial" w:hAnsi="Arial" w:cs="Arial"/>
          <w:bCs/>
          <w:sz w:val="20"/>
          <w:szCs w:val="20"/>
        </w:rPr>
        <w:t>section of activi</w:t>
      </w:r>
      <w:r w:rsidR="005C68BB" w:rsidRPr="001C4B79">
        <w:rPr>
          <w:rFonts w:ascii="Arial" w:hAnsi="Arial" w:cs="Arial"/>
          <w:bCs/>
          <w:sz w:val="20"/>
          <w:szCs w:val="20"/>
        </w:rPr>
        <w:t>ties, A-U.</w:t>
      </w:r>
    </w:p>
    <w:p w:rsidR="005D294A" w:rsidRPr="001C4B79" w:rsidRDefault="00151DA3" w:rsidP="00DC5102">
      <w:pPr>
        <w:numPr>
          <w:ilvl w:val="1"/>
          <w:numId w:val="3"/>
        </w:numPr>
        <w:tabs>
          <w:tab w:val="clear" w:pos="760"/>
          <w:tab w:val="num" w:pos="700"/>
        </w:tabs>
        <w:autoSpaceDE w:val="0"/>
        <w:autoSpaceDN w:val="0"/>
        <w:adjustRightInd w:val="0"/>
        <w:spacing w:before="60" w:after="60" w:line="240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1C4B79">
        <w:rPr>
          <w:rFonts w:ascii="Arial" w:hAnsi="Arial" w:cs="Arial"/>
          <w:b/>
          <w:bCs/>
          <w:sz w:val="20"/>
          <w:szCs w:val="20"/>
        </w:rPr>
        <w:t>LCS</w:t>
      </w:r>
      <w:r w:rsidRPr="001C4B79">
        <w:rPr>
          <w:rFonts w:ascii="Arial" w:hAnsi="Arial" w:cs="Arial"/>
          <w:bCs/>
          <w:sz w:val="20"/>
          <w:szCs w:val="20"/>
        </w:rPr>
        <w:t xml:space="preserve"> </w:t>
      </w:r>
      <w:r w:rsidR="002512E6" w:rsidRPr="001C4B79">
        <w:rPr>
          <w:rFonts w:ascii="Arial" w:hAnsi="Arial" w:cs="Arial"/>
          <w:bCs/>
          <w:sz w:val="20"/>
          <w:szCs w:val="20"/>
        </w:rPr>
        <w:t xml:space="preserve">covers </w:t>
      </w:r>
      <w:r w:rsidRPr="001C4B79">
        <w:rPr>
          <w:rFonts w:ascii="Arial" w:hAnsi="Arial" w:cs="Arial"/>
          <w:bCs/>
          <w:sz w:val="20"/>
          <w:szCs w:val="20"/>
        </w:rPr>
        <w:t xml:space="preserve">only </w:t>
      </w:r>
      <w:r w:rsidR="00225C2D" w:rsidRPr="001C4B79">
        <w:rPr>
          <w:rFonts w:ascii="Arial" w:hAnsi="Arial" w:cs="Arial"/>
          <w:bCs/>
          <w:sz w:val="20"/>
          <w:szCs w:val="20"/>
        </w:rPr>
        <w:t>formal employmen</w:t>
      </w:r>
      <w:r w:rsidR="005C68BB" w:rsidRPr="001C4B79">
        <w:rPr>
          <w:rFonts w:ascii="Arial" w:hAnsi="Arial" w:cs="Arial"/>
          <w:bCs/>
          <w:sz w:val="20"/>
          <w:szCs w:val="20"/>
        </w:rPr>
        <w:t xml:space="preserve">t within </w:t>
      </w:r>
      <w:r w:rsidRPr="001C4B79">
        <w:rPr>
          <w:rFonts w:ascii="Arial" w:hAnsi="Arial" w:cs="Arial"/>
          <w:bCs/>
          <w:sz w:val="20"/>
          <w:szCs w:val="20"/>
        </w:rPr>
        <w:t>enterprises with 10 and more employees</w:t>
      </w:r>
      <w:r w:rsidR="005C68BB" w:rsidRPr="001C4B79">
        <w:rPr>
          <w:rFonts w:ascii="Arial" w:hAnsi="Arial" w:cs="Arial"/>
          <w:bCs/>
          <w:sz w:val="20"/>
          <w:szCs w:val="20"/>
        </w:rPr>
        <w:t>. Not covered section of activities</w:t>
      </w:r>
      <w:r w:rsidR="003D2878" w:rsidRPr="001C4B79">
        <w:rPr>
          <w:rFonts w:ascii="Arial" w:hAnsi="Arial" w:cs="Arial"/>
          <w:bCs/>
          <w:sz w:val="20"/>
          <w:szCs w:val="20"/>
          <w:lang w:val="sr-Cyrl-RS"/>
        </w:rPr>
        <w:t>:</w:t>
      </w:r>
      <w:r w:rsidR="003D2878" w:rsidRPr="001C4B79">
        <w:rPr>
          <w:rFonts w:ascii="Arial" w:hAnsi="Arial" w:cs="Arial"/>
          <w:bCs/>
          <w:sz w:val="20"/>
          <w:szCs w:val="20"/>
          <w:lang w:val="sr-Latn-RS"/>
        </w:rPr>
        <w:t xml:space="preserve"> T</w:t>
      </w:r>
      <w:r w:rsidR="00DC5102" w:rsidRPr="001C4B79">
        <w:rPr>
          <w:rFonts w:ascii="Arial" w:hAnsi="Arial" w:cs="Arial"/>
          <w:bCs/>
          <w:sz w:val="20"/>
          <w:szCs w:val="20"/>
          <w:lang w:val="sr-Latn-RS"/>
        </w:rPr>
        <w:t>-</w:t>
      </w:r>
      <w:r w:rsidR="00DC5102" w:rsidRPr="001C4B79">
        <w:rPr>
          <w:rFonts w:ascii="Arial" w:hAnsi="Arial" w:cs="Arial"/>
          <w:sz w:val="20"/>
          <w:szCs w:val="20"/>
        </w:rPr>
        <w:t xml:space="preserve">Activities of households as employers and U- Act of extraterritorial organizations and bodies. </w:t>
      </w:r>
    </w:p>
    <w:p w:rsidR="00CA7D7C" w:rsidRPr="001C4B79" w:rsidRDefault="00CA7D7C" w:rsidP="00DC5102">
      <w:pPr>
        <w:rPr>
          <w:rFonts w:ascii="Arial" w:hAnsi="Arial" w:cs="Arial"/>
          <w:sz w:val="20"/>
          <w:szCs w:val="20"/>
        </w:rPr>
      </w:pPr>
    </w:p>
    <w:p w:rsidR="00C17BC6" w:rsidRPr="001C4B79" w:rsidRDefault="00C17BC6" w:rsidP="00C17BC6">
      <w:pPr>
        <w:rPr>
          <w:rFonts w:ascii="Arial" w:hAnsi="Arial" w:cs="Arial"/>
          <w:b/>
          <w:sz w:val="20"/>
          <w:szCs w:val="20"/>
        </w:rPr>
      </w:pPr>
      <w:r w:rsidRPr="001C4B79">
        <w:rPr>
          <w:rFonts w:ascii="Arial" w:hAnsi="Arial" w:cs="Arial"/>
          <w:b/>
          <w:sz w:val="20"/>
          <w:szCs w:val="20"/>
        </w:rPr>
        <w:t>Method of data collection and observation units.</w:t>
      </w:r>
    </w:p>
    <w:p w:rsidR="00C17BC6" w:rsidRPr="001C4B79" w:rsidRDefault="00DC5102" w:rsidP="009F5D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B79">
        <w:rPr>
          <w:rFonts w:ascii="Arial" w:hAnsi="Arial" w:cs="Arial"/>
          <w:b/>
          <w:sz w:val="20"/>
          <w:szCs w:val="20"/>
        </w:rPr>
        <w:t>LFS</w:t>
      </w:r>
      <w:r w:rsidRPr="001C4B79">
        <w:rPr>
          <w:rFonts w:ascii="Arial" w:hAnsi="Arial" w:cs="Arial"/>
          <w:sz w:val="20"/>
          <w:szCs w:val="20"/>
        </w:rPr>
        <w:t xml:space="preserve">. </w:t>
      </w:r>
      <w:r w:rsidR="00C17BC6" w:rsidRPr="001C4B79">
        <w:rPr>
          <w:rFonts w:ascii="Arial" w:hAnsi="Arial" w:cs="Arial"/>
          <w:sz w:val="20"/>
          <w:szCs w:val="20"/>
        </w:rPr>
        <w:t xml:space="preserve">Data on </w:t>
      </w:r>
      <w:r w:rsidRPr="001C4B79">
        <w:rPr>
          <w:rFonts w:ascii="Arial" w:hAnsi="Arial" w:cs="Arial"/>
          <w:sz w:val="20"/>
          <w:szCs w:val="20"/>
        </w:rPr>
        <w:t xml:space="preserve">hours actually worked </w:t>
      </w:r>
      <w:r w:rsidR="00C17BC6" w:rsidRPr="001C4B79">
        <w:rPr>
          <w:rFonts w:ascii="Arial" w:hAnsi="Arial" w:cs="Arial"/>
          <w:sz w:val="20"/>
          <w:szCs w:val="20"/>
        </w:rPr>
        <w:t xml:space="preserve">are subjective statements by members of households and their personal understanding of both real working </w:t>
      </w:r>
      <w:r w:rsidR="00AC0EA0" w:rsidRPr="001C4B79">
        <w:rPr>
          <w:rFonts w:ascii="Arial" w:hAnsi="Arial" w:cs="Arial"/>
          <w:sz w:val="20"/>
          <w:szCs w:val="20"/>
        </w:rPr>
        <w:t xml:space="preserve">time </w:t>
      </w:r>
      <w:r w:rsidR="00C17BC6" w:rsidRPr="001C4B79">
        <w:rPr>
          <w:rFonts w:ascii="Arial" w:hAnsi="Arial" w:cs="Arial"/>
          <w:sz w:val="20"/>
          <w:szCs w:val="20"/>
        </w:rPr>
        <w:t>and actual</w:t>
      </w:r>
      <w:r w:rsidR="00AC0EA0" w:rsidRPr="001C4B79">
        <w:rPr>
          <w:rFonts w:ascii="Arial" w:hAnsi="Arial" w:cs="Arial"/>
          <w:sz w:val="20"/>
          <w:szCs w:val="20"/>
        </w:rPr>
        <w:t>ly</w:t>
      </w:r>
      <w:r w:rsidR="00C17BC6" w:rsidRPr="001C4B79">
        <w:rPr>
          <w:rFonts w:ascii="Arial" w:hAnsi="Arial" w:cs="Arial"/>
          <w:sz w:val="20"/>
          <w:szCs w:val="20"/>
        </w:rPr>
        <w:t xml:space="preserve"> work</w:t>
      </w:r>
      <w:r w:rsidR="00AC0EA0" w:rsidRPr="001C4B79">
        <w:rPr>
          <w:rFonts w:ascii="Arial" w:hAnsi="Arial" w:cs="Arial"/>
          <w:sz w:val="20"/>
          <w:szCs w:val="20"/>
        </w:rPr>
        <w:t>ed</w:t>
      </w:r>
      <w:r w:rsidR="00C17BC6" w:rsidRPr="001C4B79">
        <w:rPr>
          <w:rFonts w:ascii="Arial" w:hAnsi="Arial" w:cs="Arial"/>
          <w:sz w:val="20"/>
          <w:szCs w:val="20"/>
        </w:rPr>
        <w:t xml:space="preserve"> hours and are often overestimated.</w:t>
      </w:r>
    </w:p>
    <w:p w:rsidR="00C17BC6" w:rsidRPr="001C4B79" w:rsidRDefault="00C17BC6" w:rsidP="009F5D1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C4B79">
        <w:rPr>
          <w:rFonts w:ascii="Arial" w:hAnsi="Arial" w:cs="Arial"/>
          <w:sz w:val="20"/>
          <w:szCs w:val="20"/>
        </w:rPr>
        <w:t xml:space="preserve">The average hours worked on the main job in 2016 from the ARS were obtained by multiplying the average weekly </w:t>
      </w:r>
      <w:r w:rsidR="00AC0EA0" w:rsidRPr="001C4B79">
        <w:rPr>
          <w:rFonts w:ascii="Arial" w:hAnsi="Arial" w:cs="Arial"/>
          <w:sz w:val="20"/>
          <w:szCs w:val="20"/>
        </w:rPr>
        <w:t xml:space="preserve">hours and </w:t>
      </w:r>
      <w:r w:rsidR="00AC0EA0" w:rsidRPr="001C4B79">
        <w:rPr>
          <w:rStyle w:val="hps"/>
          <w:rFonts w:ascii="Arial" w:hAnsi="Arial" w:cs="Arial"/>
          <w:sz w:val="20"/>
          <w:szCs w:val="20"/>
        </w:rPr>
        <w:t>multiplied by 52 weeks</w:t>
      </w:r>
      <w:r w:rsidRPr="001C4B79">
        <w:rPr>
          <w:rFonts w:ascii="Arial" w:hAnsi="Arial" w:cs="Arial"/>
          <w:sz w:val="20"/>
          <w:szCs w:val="20"/>
        </w:rPr>
        <w:t>.</w:t>
      </w:r>
    </w:p>
    <w:p w:rsidR="001C4B79" w:rsidRDefault="00AC0EA0" w:rsidP="001C4B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C4B79">
        <w:rPr>
          <w:rFonts w:ascii="Arial" w:hAnsi="Arial" w:cs="Arial"/>
          <w:b/>
          <w:sz w:val="20"/>
          <w:szCs w:val="20"/>
        </w:rPr>
        <w:t>LCS</w:t>
      </w:r>
      <w:r w:rsidR="00C17BC6" w:rsidRPr="001C4B79">
        <w:rPr>
          <w:rFonts w:ascii="Arial" w:hAnsi="Arial" w:cs="Arial"/>
          <w:sz w:val="20"/>
          <w:szCs w:val="20"/>
        </w:rPr>
        <w:t xml:space="preserve">. Data on </w:t>
      </w:r>
      <w:r w:rsidRPr="001C4B79">
        <w:rPr>
          <w:rFonts w:ascii="Arial" w:hAnsi="Arial" w:cs="Arial"/>
          <w:sz w:val="20"/>
          <w:szCs w:val="20"/>
        </w:rPr>
        <w:t xml:space="preserve">actually worked hours </w:t>
      </w:r>
      <w:r w:rsidR="00C17BC6" w:rsidRPr="001C4B79">
        <w:rPr>
          <w:rFonts w:ascii="Arial" w:hAnsi="Arial" w:cs="Arial"/>
          <w:sz w:val="20"/>
          <w:szCs w:val="20"/>
        </w:rPr>
        <w:t>obtained on the basis of</w:t>
      </w:r>
      <w:r w:rsidR="00BF244A" w:rsidRPr="001C4B79">
        <w:rPr>
          <w:rFonts w:ascii="Arial" w:hAnsi="Arial" w:cs="Arial"/>
          <w:sz w:val="20"/>
          <w:szCs w:val="20"/>
        </w:rPr>
        <w:t xml:space="preserve"> accounting documentations of enterprises </w:t>
      </w:r>
      <w:r w:rsidR="00C17BC6" w:rsidRPr="001C4B79">
        <w:rPr>
          <w:rFonts w:ascii="Arial" w:hAnsi="Arial" w:cs="Arial"/>
          <w:sz w:val="20"/>
          <w:szCs w:val="20"/>
        </w:rPr>
        <w:t xml:space="preserve">where it is expected that detailed records of paid </w:t>
      </w:r>
      <w:r w:rsidR="00BF244A" w:rsidRPr="001C4B79">
        <w:rPr>
          <w:rFonts w:ascii="Arial" w:hAnsi="Arial" w:cs="Arial"/>
          <w:sz w:val="20"/>
          <w:szCs w:val="20"/>
        </w:rPr>
        <w:t>but not worked</w:t>
      </w:r>
      <w:r w:rsidR="00C17BC6" w:rsidRPr="001C4B79">
        <w:rPr>
          <w:rFonts w:ascii="Arial" w:hAnsi="Arial" w:cs="Arial"/>
          <w:sz w:val="20"/>
          <w:szCs w:val="20"/>
        </w:rPr>
        <w:t xml:space="preserve"> hours, such as holidays, holidays, sick leave etc., will be kept in detail. </w:t>
      </w:r>
      <w:r w:rsidR="00BF244A" w:rsidRPr="001C4B79">
        <w:rPr>
          <w:rFonts w:ascii="Arial" w:hAnsi="Arial" w:cs="Arial"/>
          <w:sz w:val="20"/>
          <w:szCs w:val="20"/>
        </w:rPr>
        <w:t xml:space="preserve">Hours of daily break </w:t>
      </w:r>
      <w:r w:rsidR="00C17BC6" w:rsidRPr="001C4B79">
        <w:rPr>
          <w:rFonts w:ascii="Arial" w:hAnsi="Arial" w:cs="Arial"/>
          <w:sz w:val="20"/>
          <w:szCs w:val="20"/>
        </w:rPr>
        <w:t xml:space="preserve">also represent </w:t>
      </w:r>
      <w:r w:rsidR="00BF244A" w:rsidRPr="001C4B79">
        <w:rPr>
          <w:rFonts w:ascii="Arial" w:hAnsi="Arial" w:cs="Arial"/>
          <w:sz w:val="20"/>
          <w:szCs w:val="20"/>
        </w:rPr>
        <w:t>paid but not worked hours</w:t>
      </w:r>
      <w:r w:rsidR="00C17BC6" w:rsidRPr="001C4B79">
        <w:rPr>
          <w:rFonts w:ascii="Arial" w:hAnsi="Arial" w:cs="Arial"/>
          <w:sz w:val="20"/>
          <w:szCs w:val="20"/>
        </w:rPr>
        <w:t>, and are not coll</w:t>
      </w:r>
      <w:r w:rsidR="00BF244A" w:rsidRPr="001C4B79">
        <w:rPr>
          <w:rFonts w:ascii="Arial" w:hAnsi="Arial" w:cs="Arial"/>
          <w:sz w:val="20"/>
          <w:szCs w:val="20"/>
        </w:rPr>
        <w:t>ected by the LCS questionnaire</w:t>
      </w:r>
      <w:r w:rsidR="00C17BC6" w:rsidRPr="001C4B79">
        <w:rPr>
          <w:rFonts w:ascii="Arial" w:hAnsi="Arial" w:cs="Arial"/>
          <w:sz w:val="20"/>
          <w:szCs w:val="20"/>
        </w:rPr>
        <w:t xml:space="preserve">, they are calculated and added to other </w:t>
      </w:r>
      <w:r w:rsidR="00BF244A" w:rsidRPr="001C4B79">
        <w:rPr>
          <w:rFonts w:ascii="Arial" w:hAnsi="Arial" w:cs="Arial"/>
          <w:sz w:val="20"/>
          <w:szCs w:val="20"/>
        </w:rPr>
        <w:t>paid but not worked hours after the checking</w:t>
      </w:r>
      <w:r w:rsidR="000905F8">
        <w:rPr>
          <w:rFonts w:ascii="Arial" w:hAnsi="Arial" w:cs="Arial"/>
          <w:sz w:val="20"/>
          <w:szCs w:val="20"/>
        </w:rPr>
        <w:t xml:space="preserve"> of</w:t>
      </w:r>
      <w:r w:rsidR="00BF244A" w:rsidRPr="001C4B79">
        <w:rPr>
          <w:rFonts w:ascii="Arial" w:hAnsi="Arial" w:cs="Arial"/>
          <w:sz w:val="20"/>
          <w:szCs w:val="20"/>
        </w:rPr>
        <w:t xml:space="preserve"> the data </w:t>
      </w:r>
    </w:p>
    <w:p w:rsidR="00CA7D7C" w:rsidRPr="001C4B79" w:rsidRDefault="00BF244A" w:rsidP="001C4B79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C4B79">
        <w:rPr>
          <w:rFonts w:ascii="Arial" w:hAnsi="Arial" w:cs="Arial"/>
          <w:sz w:val="20"/>
          <w:szCs w:val="20"/>
        </w:rPr>
        <w:t xml:space="preserve">Hours of daily break are the product of the number 0.0625 and number of hours </w:t>
      </w:r>
      <w:proofErr w:type="gramStart"/>
      <w:r w:rsidRPr="001C4B79">
        <w:rPr>
          <w:rFonts w:ascii="Arial" w:hAnsi="Arial" w:cs="Arial"/>
          <w:sz w:val="20"/>
          <w:szCs w:val="20"/>
        </w:rPr>
        <w:t>worked</w:t>
      </w:r>
      <w:r w:rsidR="009F5D1F">
        <w:rPr>
          <w:rFonts w:ascii="Arial" w:hAnsi="Arial" w:cs="Arial"/>
          <w:sz w:val="20"/>
          <w:szCs w:val="20"/>
        </w:rPr>
        <w:t>.</w:t>
      </w:r>
      <w:proofErr w:type="gramEnd"/>
      <w:r w:rsidR="009F5D1F">
        <w:rPr>
          <w:rFonts w:ascii="Arial" w:hAnsi="Arial" w:cs="Arial"/>
          <w:sz w:val="20"/>
          <w:szCs w:val="20"/>
        </w:rPr>
        <w:t xml:space="preserve"> </w:t>
      </w:r>
      <w:r w:rsidR="00C17BC6" w:rsidRPr="001C4B79">
        <w:rPr>
          <w:rFonts w:ascii="Arial" w:hAnsi="Arial" w:cs="Arial"/>
          <w:sz w:val="20"/>
          <w:szCs w:val="20"/>
        </w:rPr>
        <w:t>Although this</w:t>
      </w:r>
      <w:r w:rsidRPr="001C4B79">
        <w:rPr>
          <w:rFonts w:ascii="Arial" w:hAnsi="Arial" w:cs="Arial"/>
          <w:sz w:val="20"/>
          <w:szCs w:val="20"/>
        </w:rPr>
        <w:t xml:space="preserve"> survey</w:t>
      </w:r>
      <w:r w:rsidR="00C17BC6" w:rsidRPr="001C4B79">
        <w:rPr>
          <w:rFonts w:ascii="Arial" w:hAnsi="Arial" w:cs="Arial"/>
          <w:sz w:val="20"/>
          <w:szCs w:val="20"/>
        </w:rPr>
        <w:t xml:space="preserve"> provides more precise data on </w:t>
      </w:r>
      <w:r w:rsidRPr="001C4B79">
        <w:rPr>
          <w:rFonts w:ascii="Arial" w:hAnsi="Arial" w:cs="Arial"/>
          <w:sz w:val="20"/>
          <w:szCs w:val="20"/>
        </w:rPr>
        <w:t xml:space="preserve">the paid but not worked hours </w:t>
      </w:r>
      <w:r w:rsidR="00C17BC6" w:rsidRPr="001C4B79">
        <w:rPr>
          <w:rFonts w:ascii="Arial" w:hAnsi="Arial" w:cs="Arial"/>
          <w:sz w:val="20"/>
          <w:szCs w:val="20"/>
        </w:rPr>
        <w:t xml:space="preserve">than in the </w:t>
      </w:r>
      <w:r w:rsidRPr="001C4B79">
        <w:rPr>
          <w:rFonts w:ascii="Arial" w:hAnsi="Arial" w:cs="Arial"/>
          <w:sz w:val="20"/>
          <w:szCs w:val="20"/>
        </w:rPr>
        <w:t>LFS</w:t>
      </w:r>
      <w:r w:rsidR="00C17BC6" w:rsidRPr="001C4B79">
        <w:rPr>
          <w:rFonts w:ascii="Arial" w:hAnsi="Arial" w:cs="Arial"/>
          <w:sz w:val="20"/>
          <w:szCs w:val="20"/>
        </w:rPr>
        <w:t>, in this case there are justifiable assumptions that unpaid overtime is underestimated.</w:t>
      </w:r>
    </w:p>
    <w:p w:rsidR="003D2878" w:rsidRPr="00F351A3" w:rsidRDefault="003D2878" w:rsidP="00042497">
      <w:pPr>
        <w:spacing w:after="0" w:line="240" w:lineRule="auto"/>
        <w:rPr>
          <w:lang w:val="sr-Cyrl-RS"/>
        </w:rPr>
      </w:pPr>
      <w:r w:rsidRPr="003D2878">
        <w:rPr>
          <w:b/>
        </w:rPr>
        <w:t>Table</w:t>
      </w:r>
      <w:r>
        <w:rPr>
          <w:lang w:val="sr-Cyrl-RS"/>
        </w:rPr>
        <w:t xml:space="preserve">. </w:t>
      </w:r>
      <w:r>
        <w:t xml:space="preserve">Average yearly hours actually worked </w:t>
      </w:r>
      <w:r w:rsidR="00C82D41">
        <w:t xml:space="preserve">per </w:t>
      </w:r>
      <w:r>
        <w:t>employee, LCS and LFS, 2016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5057"/>
        <w:gridCol w:w="2004"/>
        <w:gridCol w:w="2179"/>
      </w:tblGrid>
      <w:tr w:rsidR="003D2878" w:rsidRPr="00B17111" w:rsidTr="003E4959">
        <w:trPr>
          <w:trHeight w:val="278"/>
        </w:trPr>
        <w:tc>
          <w:tcPr>
            <w:tcW w:w="5057" w:type="dxa"/>
            <w:vMerge w:val="restart"/>
            <w:tcBorders>
              <w:top w:val="single" w:sz="8" w:space="0" w:color="0C5499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noWrap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single" w:sz="8" w:space="0" w:color="0C5499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3D2878" w:rsidRPr="003D2878" w:rsidRDefault="003D2878" w:rsidP="000C1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LCS</w:t>
            </w:r>
          </w:p>
        </w:tc>
        <w:tc>
          <w:tcPr>
            <w:tcW w:w="2179" w:type="dxa"/>
            <w:tcBorders>
              <w:top w:val="single" w:sz="8" w:space="0" w:color="0C5499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3D2878" w:rsidRPr="003D2878" w:rsidRDefault="003D2878" w:rsidP="000C1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LFS</w:t>
            </w:r>
          </w:p>
        </w:tc>
      </w:tr>
      <w:tr w:rsidR="003D2878" w:rsidRPr="00B17111" w:rsidTr="003E4959">
        <w:trPr>
          <w:trHeight w:val="23"/>
        </w:trPr>
        <w:tc>
          <w:tcPr>
            <w:tcW w:w="5057" w:type="dxa"/>
            <w:vMerge/>
            <w:tcBorders>
              <w:top w:val="single" w:sz="8" w:space="0" w:color="0C5499"/>
              <w:left w:val="nil"/>
              <w:bottom w:val="single" w:sz="8" w:space="0" w:color="0C5499"/>
              <w:right w:val="single" w:sz="8" w:space="0" w:color="0C5499"/>
            </w:tcBorders>
            <w:vAlign w:val="center"/>
            <w:hideMark/>
          </w:tcPr>
          <w:p w:rsidR="003D2878" w:rsidRPr="00B17111" w:rsidRDefault="003D2878" w:rsidP="000C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vAlign w:val="center"/>
          </w:tcPr>
          <w:p w:rsidR="003D2878" w:rsidRPr="00B17111" w:rsidRDefault="003D2878" w:rsidP="000C1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vAlign w:val="center"/>
          </w:tcPr>
          <w:p w:rsidR="003D2878" w:rsidRPr="00B17111" w:rsidRDefault="003D2878" w:rsidP="000C1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E4959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  <w:r w:rsidR="003D2878" w:rsidRPr="003E4959">
              <w:rPr>
                <w:rFonts w:ascii="Arial" w:eastAsia="Times New Roman" w:hAnsi="Arial" w:cs="Arial"/>
                <w:sz w:val="16"/>
                <w:szCs w:val="16"/>
              </w:rPr>
              <w:t xml:space="preserve"> *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1623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2029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 xml:space="preserve">Agriculture, forestry and fishing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1642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2172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Mining and quarrying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1615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2076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Manufacturing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1648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2097</w:t>
            </w:r>
          </w:p>
        </w:tc>
        <w:bookmarkStart w:id="0" w:name="_GoBack"/>
        <w:bookmarkEnd w:id="0"/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1617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1969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Water supply, sewerage. waste management and remediation activities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1641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1984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Construction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1680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2086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Wholesale and retail trade and repair of motor vehicles and motorcycles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1664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2160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Transportation and  storage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1657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2163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Accommodation and food service activities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1621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2264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Information and communication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1649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Financial and insurance activities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1513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1963</w:t>
            </w:r>
          </w:p>
        </w:tc>
      </w:tr>
      <w:tr w:rsidR="003D2878" w:rsidRPr="00B17111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 xml:space="preserve">Real estate </w:t>
            </w:r>
            <w:proofErr w:type="spellStart"/>
            <w:r w:rsidRPr="003E4959">
              <w:rPr>
                <w:rFonts w:ascii="Arial" w:eastAsia="Times New Roman" w:hAnsi="Arial" w:cs="Arial"/>
                <w:sz w:val="16"/>
                <w:szCs w:val="16"/>
              </w:rPr>
              <w:t>acitivities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1580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2045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Professional. scientific and technical activities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1667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1926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Administrative and support service activities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1680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1898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 xml:space="preserve">Public administration and </w:t>
            </w:r>
            <w:proofErr w:type="spellStart"/>
            <w:r w:rsidRPr="003E4959">
              <w:rPr>
                <w:rFonts w:ascii="Arial" w:eastAsia="Times New Roman" w:hAnsi="Arial" w:cs="Arial"/>
                <w:sz w:val="16"/>
                <w:szCs w:val="16"/>
              </w:rPr>
              <w:t>defence</w:t>
            </w:r>
            <w:proofErr w:type="spellEnd"/>
            <w:r w:rsidRPr="003E4959">
              <w:rPr>
                <w:rFonts w:ascii="Arial" w:eastAsia="Times New Roman" w:hAnsi="Arial" w:cs="Arial"/>
                <w:sz w:val="16"/>
                <w:szCs w:val="16"/>
              </w:rPr>
              <w:t>; compulsory social security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1645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1979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Education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1451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1681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Human health and social work activities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1584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1917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Arts. entertainment and recreation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1634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1766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bottom"/>
            <w:hideMark/>
          </w:tcPr>
          <w:p w:rsidR="003D2878" w:rsidRPr="003E4959" w:rsidRDefault="003D2878" w:rsidP="003E4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Other service activities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1657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hideMark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4959">
              <w:rPr>
                <w:rFonts w:ascii="Arial" w:eastAsia="Times New Roman" w:hAnsi="Arial" w:cs="Arial"/>
                <w:sz w:val="16"/>
                <w:szCs w:val="16"/>
              </w:rPr>
              <w:t>1870</w:t>
            </w:r>
          </w:p>
        </w:tc>
      </w:tr>
      <w:tr w:rsidR="003D2878" w:rsidRPr="003E4959" w:rsidTr="003E4959">
        <w:trPr>
          <w:trHeight w:val="104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000000" w:fill="FFFFFF"/>
            <w:vAlign w:val="center"/>
          </w:tcPr>
          <w:p w:rsidR="003D2878" w:rsidRPr="003E4959" w:rsidRDefault="003D2878" w:rsidP="003E4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D2878" w:rsidRPr="001E1F61" w:rsidRDefault="003E4959" w:rsidP="003E4959">
      <w:pPr>
        <w:spacing w:after="0" w:line="240" w:lineRule="auto"/>
        <w:rPr>
          <w:rFonts w:ascii="Arial" w:hAnsi="Arial" w:cs="Arial"/>
          <w:sz w:val="16"/>
          <w:szCs w:val="16"/>
          <w:lang w:val="sr-Latn-RS"/>
        </w:rPr>
      </w:pPr>
      <w:r>
        <w:rPr>
          <w:rFonts w:ascii="Arial" w:eastAsia="Times New Roman" w:hAnsi="Arial" w:cs="Arial"/>
          <w:sz w:val="16"/>
          <w:szCs w:val="16"/>
        </w:rPr>
        <w:t>* Total = LCS</w:t>
      </w:r>
      <w:r w:rsidR="003D2878" w:rsidRPr="003E4959">
        <w:rPr>
          <w:rFonts w:ascii="Arial" w:eastAsia="Times New Roman" w:hAnsi="Arial" w:cs="Arial"/>
          <w:sz w:val="16"/>
          <w:szCs w:val="16"/>
        </w:rPr>
        <w:t xml:space="preserve">: </w:t>
      </w:r>
      <w:r>
        <w:rPr>
          <w:rFonts w:ascii="Arial" w:eastAsia="Times New Roman" w:hAnsi="Arial" w:cs="Arial"/>
          <w:sz w:val="16"/>
          <w:szCs w:val="16"/>
        </w:rPr>
        <w:t>sections of activity</w:t>
      </w:r>
      <w:r w:rsidR="003D2878" w:rsidRPr="003E4959">
        <w:rPr>
          <w:rFonts w:ascii="Arial" w:eastAsia="Times New Roman" w:hAnsi="Arial" w:cs="Arial"/>
          <w:sz w:val="16"/>
          <w:szCs w:val="16"/>
        </w:rPr>
        <w:t xml:space="preserve"> B-S</w:t>
      </w:r>
      <w:proofErr w:type="gramStart"/>
      <w:r w:rsidR="00337DEA" w:rsidRPr="003E4959">
        <w:rPr>
          <w:rFonts w:ascii="Arial" w:eastAsia="Times New Roman" w:hAnsi="Arial" w:cs="Arial"/>
          <w:sz w:val="16"/>
          <w:szCs w:val="16"/>
        </w:rPr>
        <w:t>;</w:t>
      </w:r>
      <w:proofErr w:type="gramEnd"/>
      <w:r w:rsidR="00337DEA" w:rsidRPr="003E4959">
        <w:rPr>
          <w:rFonts w:ascii="Arial" w:eastAsia="Times New Roman" w:hAnsi="Arial" w:cs="Arial"/>
          <w:sz w:val="16"/>
          <w:szCs w:val="16"/>
        </w:rPr>
        <w:t xml:space="preserve"> LFS</w:t>
      </w:r>
      <w:r w:rsidR="003D2878" w:rsidRPr="003E4959">
        <w:rPr>
          <w:rFonts w:ascii="Arial" w:eastAsia="Times New Roman" w:hAnsi="Arial" w:cs="Arial"/>
          <w:sz w:val="16"/>
          <w:szCs w:val="16"/>
        </w:rPr>
        <w:t xml:space="preserve">: </w:t>
      </w:r>
      <w:r>
        <w:rPr>
          <w:rFonts w:ascii="Arial" w:eastAsia="Times New Roman" w:hAnsi="Arial" w:cs="Arial"/>
          <w:sz w:val="16"/>
          <w:szCs w:val="16"/>
        </w:rPr>
        <w:t>sections of activity</w:t>
      </w:r>
      <w:r w:rsidRPr="003E4959">
        <w:rPr>
          <w:rFonts w:ascii="Arial" w:eastAsia="Times New Roman" w:hAnsi="Arial" w:cs="Arial"/>
          <w:sz w:val="16"/>
          <w:szCs w:val="16"/>
        </w:rPr>
        <w:t xml:space="preserve"> </w:t>
      </w:r>
      <w:r w:rsidR="003D2878" w:rsidRPr="001E1F61">
        <w:rPr>
          <w:rFonts w:ascii="Arial" w:hAnsi="Arial" w:cs="Arial"/>
          <w:sz w:val="16"/>
          <w:szCs w:val="16"/>
        </w:rPr>
        <w:t>А-</w:t>
      </w:r>
      <w:r w:rsidR="003D2878" w:rsidRPr="001E1F61">
        <w:rPr>
          <w:rFonts w:ascii="Arial" w:hAnsi="Arial" w:cs="Arial"/>
          <w:sz w:val="16"/>
          <w:szCs w:val="16"/>
          <w:lang w:val="sr-Latn-RS"/>
        </w:rPr>
        <w:t>U</w:t>
      </w:r>
    </w:p>
    <w:p w:rsidR="003D2878" w:rsidRPr="001E1F61" w:rsidRDefault="003D2878" w:rsidP="003D2878">
      <w:pPr>
        <w:rPr>
          <w:sz w:val="20"/>
          <w:szCs w:val="20"/>
        </w:rPr>
      </w:pPr>
    </w:p>
    <w:p w:rsidR="003D2878" w:rsidRPr="001E1F61" w:rsidRDefault="00C82D41" w:rsidP="003D2878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t>Average actually worked hours per employee</w:t>
      </w:r>
      <w:r w:rsidRPr="008B14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from LFS</w:t>
      </w:r>
      <w:r w:rsidR="003D2878" w:rsidRPr="008B14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are </w:t>
      </w:r>
      <w:r w:rsidRPr="00C82D41">
        <w:rPr>
          <w:rFonts w:ascii="Arial" w:eastAsia="Times New Roman" w:hAnsi="Arial" w:cs="Arial"/>
          <w:color w:val="000000"/>
          <w:sz w:val="20"/>
          <w:szCs w:val="20"/>
        </w:rPr>
        <w:t xml:space="preserve">higher both at the </w:t>
      </w:r>
      <w:r>
        <w:rPr>
          <w:rFonts w:ascii="Arial" w:eastAsia="Times New Roman" w:hAnsi="Arial" w:cs="Arial"/>
          <w:color w:val="000000"/>
          <w:sz w:val="20"/>
          <w:szCs w:val="20"/>
        </w:rPr>
        <w:t>total</w:t>
      </w:r>
      <w:r w:rsidRPr="00C82D41">
        <w:rPr>
          <w:rFonts w:ascii="Arial" w:eastAsia="Times New Roman" w:hAnsi="Arial" w:cs="Arial"/>
          <w:color w:val="000000"/>
          <w:sz w:val="20"/>
          <w:szCs w:val="20"/>
        </w:rPr>
        <w:t xml:space="preserve"> level and in all sec</w:t>
      </w:r>
      <w:r w:rsidR="00EB2934">
        <w:rPr>
          <w:rFonts w:ascii="Arial" w:eastAsia="Times New Roman" w:hAnsi="Arial" w:cs="Arial"/>
          <w:color w:val="000000"/>
          <w:sz w:val="20"/>
          <w:szCs w:val="20"/>
        </w:rPr>
        <w:t>tion</w:t>
      </w:r>
      <w:r w:rsidR="000905F8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EB2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82D41">
        <w:rPr>
          <w:rFonts w:ascii="Arial" w:eastAsia="Times New Roman" w:hAnsi="Arial" w:cs="Arial"/>
          <w:color w:val="000000"/>
          <w:sz w:val="20"/>
          <w:szCs w:val="20"/>
        </w:rPr>
        <w:t>of activity, which is expected if the above methodological differences are taken into account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D2878" w:rsidRPr="001E1F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A7D7C" w:rsidRPr="001C4B79" w:rsidRDefault="00CA7D7C">
      <w:pPr>
        <w:rPr>
          <w:rFonts w:ascii="Arial" w:hAnsi="Arial" w:cs="Arial"/>
          <w:sz w:val="20"/>
          <w:szCs w:val="20"/>
        </w:rPr>
      </w:pPr>
    </w:p>
    <w:sectPr w:rsidR="00CA7D7C" w:rsidRPr="001C4B79" w:rsidSect="003D2878">
      <w:pgSz w:w="12240" w:h="15840"/>
      <w:pgMar w:top="576" w:right="1411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79F"/>
    <w:multiLevelType w:val="hybridMultilevel"/>
    <w:tmpl w:val="8BF6C340"/>
    <w:lvl w:ilvl="0" w:tplc="8902A0F2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8D3A62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F44A5C"/>
    <w:multiLevelType w:val="hybridMultilevel"/>
    <w:tmpl w:val="5CDA8C50"/>
    <w:lvl w:ilvl="0" w:tplc="6D0E34B6">
      <w:start w:val="1"/>
      <w:numFmt w:val="decimal"/>
      <w:pStyle w:val="dragic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5317E1"/>
    <w:multiLevelType w:val="hybridMultilevel"/>
    <w:tmpl w:val="41E2F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2478"/>
    <w:multiLevelType w:val="hybridMultilevel"/>
    <w:tmpl w:val="00A87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76EC6"/>
    <w:multiLevelType w:val="hybridMultilevel"/>
    <w:tmpl w:val="AE22C4DE"/>
    <w:lvl w:ilvl="0" w:tplc="FD0449FE">
      <w:start w:val="2"/>
      <w:numFmt w:val="bullet"/>
      <w:lvlText w:val="-"/>
      <w:lvlJc w:val="left"/>
      <w:pPr>
        <w:ind w:left="65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5" w15:restartNumberingAfterBreak="0">
    <w:nsid w:val="73A676D4"/>
    <w:multiLevelType w:val="hybridMultilevel"/>
    <w:tmpl w:val="F1C80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2A3D"/>
    <w:multiLevelType w:val="hybridMultilevel"/>
    <w:tmpl w:val="34F4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D3"/>
    <w:rsid w:val="00042497"/>
    <w:rsid w:val="000905F8"/>
    <w:rsid w:val="00151DA3"/>
    <w:rsid w:val="001C4B79"/>
    <w:rsid w:val="00225C2D"/>
    <w:rsid w:val="002512E6"/>
    <w:rsid w:val="00336F09"/>
    <w:rsid w:val="00337DEA"/>
    <w:rsid w:val="003D2878"/>
    <w:rsid w:val="003E4959"/>
    <w:rsid w:val="00401136"/>
    <w:rsid w:val="005C68BB"/>
    <w:rsid w:val="005D294A"/>
    <w:rsid w:val="007B37DC"/>
    <w:rsid w:val="00823EDC"/>
    <w:rsid w:val="009F5D1F"/>
    <w:rsid w:val="00A90153"/>
    <w:rsid w:val="00AC0EA0"/>
    <w:rsid w:val="00AC7F2C"/>
    <w:rsid w:val="00BF244A"/>
    <w:rsid w:val="00C17BC6"/>
    <w:rsid w:val="00C82D41"/>
    <w:rsid w:val="00CA7D7C"/>
    <w:rsid w:val="00DC5102"/>
    <w:rsid w:val="00E524D3"/>
    <w:rsid w:val="00EB2934"/>
    <w:rsid w:val="00F67043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E05A"/>
  <w15:docId w15:val="{352778E2-8D51-4A7F-B6A2-913AFDDE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7D7C"/>
    <w:rPr>
      <w:rFonts w:cs="Times New Roman"/>
    </w:rPr>
  </w:style>
  <w:style w:type="paragraph" w:customStyle="1" w:styleId="dragica">
    <w:name w:val="dragica"/>
    <w:basedOn w:val="Normal"/>
    <w:rsid w:val="00CA7D7C"/>
    <w:pPr>
      <w:numPr>
        <w:numId w:val="1"/>
      </w:numPr>
      <w:autoSpaceDE w:val="0"/>
      <w:autoSpaceDN w:val="0"/>
      <w:adjustRightInd w:val="0"/>
      <w:spacing w:before="600" w:after="360" w:line="240" w:lineRule="auto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67043"/>
    <w:pPr>
      <w:ind w:left="720"/>
      <w:contextualSpacing/>
    </w:pPr>
  </w:style>
  <w:style w:type="paragraph" w:customStyle="1" w:styleId="Pasus">
    <w:name w:val="Pasus"/>
    <w:basedOn w:val="Normal"/>
    <w:link w:val="PasusChar"/>
    <w:rsid w:val="00BF244A"/>
    <w:pPr>
      <w:spacing w:after="0" w:line="240" w:lineRule="auto"/>
      <w:ind w:left="284" w:firstLine="567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PasusChar">
    <w:name w:val="Pasus Char"/>
    <w:basedOn w:val="DefaultParagraphFont"/>
    <w:link w:val="Pasus"/>
    <w:rsid w:val="00BF244A"/>
    <w:rPr>
      <w:rFonts w:ascii="Arial" w:eastAsia="Times New Roman" w:hAnsi="Arial" w:cs="Arial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1C62-6728-47B3-ACE2-6A596EF3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11</cp:revision>
  <dcterms:created xsi:type="dcterms:W3CDTF">2018-07-06T08:47:00Z</dcterms:created>
  <dcterms:modified xsi:type="dcterms:W3CDTF">2018-07-16T08:35:00Z</dcterms:modified>
</cp:coreProperties>
</file>