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438AA" w14:textId="1BAD5902" w:rsidR="005D294A" w:rsidRDefault="009B6705" w:rsidP="00CF70F0">
      <w:pPr>
        <w:rPr>
          <w:rFonts w:ascii="Arial" w:hAnsi="Arial" w:cs="Arial"/>
          <w:b/>
        </w:rPr>
      </w:pPr>
      <w:r w:rsidRPr="006D20B3">
        <w:rPr>
          <w:rFonts w:ascii="Arial" w:hAnsi="Arial" w:cs="Arial"/>
          <w:b/>
        </w:rPr>
        <w:t xml:space="preserve">Кохерентност са просечним зарадама из </w:t>
      </w:r>
      <w:r w:rsidR="00D96160">
        <w:rPr>
          <w:rFonts w:ascii="Arial" w:hAnsi="Arial" w:cs="Arial"/>
          <w:b/>
        </w:rPr>
        <w:t>И</w:t>
      </w:r>
      <w:r w:rsidR="005965AE" w:rsidRPr="006D20B3">
        <w:rPr>
          <w:rFonts w:ascii="Arial" w:hAnsi="Arial" w:cs="Arial"/>
          <w:b/>
        </w:rPr>
        <w:t xml:space="preserve">страживања </w:t>
      </w:r>
      <w:r w:rsidR="00D96160">
        <w:rPr>
          <w:rFonts w:ascii="Arial" w:hAnsi="Arial" w:cs="Arial"/>
          <w:b/>
        </w:rPr>
        <w:t>о зарадама</w:t>
      </w:r>
      <w:r w:rsidRPr="006D20B3">
        <w:rPr>
          <w:rFonts w:ascii="Arial" w:hAnsi="Arial" w:cs="Arial"/>
          <w:b/>
        </w:rPr>
        <w:t xml:space="preserve"> </w:t>
      </w:r>
    </w:p>
    <w:p w14:paraId="1C0D80B9" w14:textId="77777777" w:rsidR="009201A7" w:rsidRPr="007009F2" w:rsidRDefault="009201A7" w:rsidP="00642CD2">
      <w:pPr>
        <w:ind w:firstLine="720"/>
        <w:rPr>
          <w:rFonts w:ascii="Arial" w:hAnsi="Arial" w:cs="Arial"/>
          <w:b/>
          <w:sz w:val="20"/>
          <w:szCs w:val="20"/>
        </w:rPr>
      </w:pPr>
    </w:p>
    <w:p w14:paraId="21AEA215" w14:textId="001FBBB5" w:rsidR="009B6705" w:rsidRPr="007009F2" w:rsidRDefault="009B6705" w:rsidP="00F741C1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009F2"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Разлике између варијабле D</w:t>
      </w:r>
      <w:r w:rsidR="00096AD5">
        <w:rPr>
          <w:rFonts w:ascii="Arial" w:hAnsi="Arial" w:cs="Arial"/>
          <w:color w:val="222222"/>
          <w:sz w:val="20"/>
          <w:szCs w:val="20"/>
          <w:shd w:val="clear" w:color="auto" w:fill="FFFFFF"/>
        </w:rPr>
        <w:t>11 ‒</w:t>
      </w:r>
      <w:r w:rsidRPr="007009F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Трошкови за зараде, накнаде зарада и остале исплате запосленима</w:t>
      </w:r>
      <w:r w:rsidR="005965AE"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r w:rsidRPr="007009F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5965AE">
        <w:rPr>
          <w:rFonts w:ascii="Arial" w:hAnsi="Arial" w:cs="Arial"/>
          <w:color w:val="222222"/>
          <w:sz w:val="20"/>
          <w:szCs w:val="20"/>
          <w:shd w:val="clear" w:color="auto" w:fill="FFFFFF"/>
        </w:rPr>
        <w:t>и бруто зарада из</w:t>
      </w:r>
      <w:r w:rsidR="005965AE" w:rsidRPr="005965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F11167">
        <w:rPr>
          <w:rFonts w:ascii="Arial" w:hAnsi="Arial" w:cs="Arial"/>
          <w:color w:val="222222"/>
          <w:sz w:val="20"/>
          <w:szCs w:val="20"/>
          <w:shd w:val="clear" w:color="auto" w:fill="FFFFFF"/>
        </w:rPr>
        <w:t>И</w:t>
      </w:r>
      <w:r w:rsidR="005965AE" w:rsidRPr="005965AE">
        <w:rPr>
          <w:rFonts w:ascii="Arial" w:hAnsi="Arial" w:cs="Arial"/>
          <w:color w:val="222222"/>
          <w:sz w:val="20"/>
          <w:szCs w:val="20"/>
          <w:shd w:val="clear" w:color="auto" w:fill="FFFFFF"/>
        </w:rPr>
        <w:t>страживања</w:t>
      </w:r>
      <w:r w:rsidR="00F1116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о зарадама</w:t>
      </w:r>
      <w:r w:rsidRPr="005965A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могу </w:t>
      </w:r>
      <w:r w:rsidR="00FC66D8" w:rsidRPr="005965AE">
        <w:rPr>
          <w:rFonts w:ascii="Arial" w:hAnsi="Arial" w:cs="Arial"/>
          <w:color w:val="222222"/>
          <w:sz w:val="20"/>
          <w:szCs w:val="20"/>
          <w:shd w:val="clear" w:color="auto" w:fill="FFFFFF"/>
        </w:rPr>
        <w:t>се</w:t>
      </w:r>
      <w:r w:rsidR="00FC66D8" w:rsidRPr="007009F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7009F2">
        <w:rPr>
          <w:rFonts w:ascii="Arial" w:hAnsi="Arial" w:cs="Arial"/>
          <w:color w:val="222222"/>
          <w:sz w:val="20"/>
          <w:szCs w:val="20"/>
          <w:shd w:val="clear" w:color="auto" w:fill="FFFFFF"/>
        </w:rPr>
        <w:t>објаснити разликама у методологији</w:t>
      </w:r>
      <w:r w:rsidR="009D27B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F46C1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тј. у дефиницији </w:t>
      </w:r>
      <w:r w:rsidRPr="007009F2">
        <w:rPr>
          <w:rFonts w:ascii="Arial" w:hAnsi="Arial" w:cs="Arial"/>
          <w:color w:val="222222"/>
          <w:sz w:val="20"/>
          <w:szCs w:val="20"/>
          <w:shd w:val="clear" w:color="auto" w:fill="FFFFFF"/>
        </w:rPr>
        <w:t>и обухвату. </w:t>
      </w:r>
    </w:p>
    <w:p w14:paraId="6257FC88" w14:textId="10294013" w:rsidR="006A4DC0" w:rsidRPr="009D27B8" w:rsidRDefault="00380127" w:rsidP="009E40CE">
      <w:pPr>
        <w:pStyle w:val="Pasus"/>
        <w:numPr>
          <w:ilvl w:val="0"/>
          <w:numId w:val="1"/>
        </w:numPr>
        <w:ind w:left="270"/>
        <w:rPr>
          <w:color w:val="222222"/>
          <w:shd w:val="clear" w:color="auto" w:fill="FFFFFF"/>
          <w:lang w:val="sr-Cyrl-RS"/>
        </w:rPr>
      </w:pPr>
      <w:r w:rsidRPr="007009F2">
        <w:rPr>
          <w:b/>
          <w:color w:val="222222"/>
          <w:shd w:val="clear" w:color="auto" w:fill="FFFFFF"/>
          <w:lang w:val="sr-Cyrl-RS"/>
        </w:rPr>
        <w:t>Дефиниције варијабли</w:t>
      </w:r>
      <w:r w:rsidR="004048E9" w:rsidRPr="007009F2">
        <w:rPr>
          <w:b/>
          <w:color w:val="222222"/>
          <w:shd w:val="clear" w:color="auto" w:fill="FFFFFF"/>
          <w:lang w:val="sr-Cyrl-RS"/>
        </w:rPr>
        <w:t xml:space="preserve"> које се пореде</w:t>
      </w:r>
      <w:r w:rsidR="00E54B40" w:rsidRPr="007009F2">
        <w:rPr>
          <w:rFonts w:ascii="Arial IS" w:hAnsi="Arial IS" w:cs="Arial IS"/>
          <w:bCs/>
          <w:i/>
          <w:iCs/>
          <w:lang w:val="ru-RU"/>
        </w:rPr>
        <w:t xml:space="preserve"> </w:t>
      </w:r>
    </w:p>
    <w:p w14:paraId="647FC692" w14:textId="486CAA57" w:rsidR="006A4DC0" w:rsidRPr="007009F2" w:rsidRDefault="00E54B40" w:rsidP="006267F2">
      <w:pPr>
        <w:pStyle w:val="Pasus"/>
        <w:numPr>
          <w:ilvl w:val="1"/>
          <w:numId w:val="1"/>
        </w:numPr>
        <w:ind w:left="1080"/>
        <w:rPr>
          <w:color w:val="222222"/>
          <w:shd w:val="clear" w:color="auto" w:fill="FFFFFF"/>
          <w:lang w:val="sr-Cyrl-RS"/>
        </w:rPr>
      </w:pPr>
      <w:r w:rsidRPr="007009F2">
        <w:rPr>
          <w:rFonts w:eastAsiaTheme="minorHAnsi"/>
          <w:color w:val="222222"/>
          <w:shd w:val="clear" w:color="auto" w:fill="FFFFFF"/>
          <w:lang w:val="sr-Cyrl-RS"/>
        </w:rPr>
        <w:t xml:space="preserve">У </w:t>
      </w:r>
      <w:r w:rsidR="00096AD5" w:rsidRPr="007009F2">
        <w:rPr>
          <w:color w:val="222222"/>
          <w:shd w:val="clear" w:color="auto" w:fill="FFFFFF"/>
        </w:rPr>
        <w:t xml:space="preserve">истраживању </w:t>
      </w:r>
      <w:r w:rsidR="00F11167">
        <w:rPr>
          <w:color w:val="222222"/>
          <w:shd w:val="clear" w:color="auto" w:fill="FFFFFF"/>
          <w:lang w:val="sr-Cyrl-RS"/>
        </w:rPr>
        <w:t>о зарадама,</w:t>
      </w:r>
      <w:r w:rsidRPr="007009F2">
        <w:rPr>
          <w:color w:val="222222"/>
          <w:shd w:val="clear" w:color="auto" w:fill="FFFFFF"/>
        </w:rPr>
        <w:t xml:space="preserve"> зараду, у смислу члана 105 Закона о раду</w:t>
      </w:r>
      <w:r w:rsidR="00FC66D8" w:rsidRPr="007009F2">
        <w:rPr>
          <w:color w:val="222222"/>
          <w:shd w:val="clear" w:color="auto" w:fill="FFFFFF"/>
          <w:lang w:val="sr-Cyrl-RS"/>
        </w:rPr>
        <w:t>,</w:t>
      </w:r>
      <w:r w:rsidRPr="007009F2">
        <w:rPr>
          <w:color w:val="222222"/>
          <w:shd w:val="clear" w:color="auto" w:fill="FFFFFF"/>
        </w:rPr>
        <w:t xml:space="preserve"> чини зарада која садржи порез и доприносе који се плаћају из зараде коју је запослени остварио за обављени рад и за време проведено на раду, затим увећана зарада, накнада зараде и друга примања (осим: накнаде трошкова за долазак и одлазак са посла, за време проведено на службеном путу у земљи и иностранству, отпремнине при одласку у пензију, солидарне помоћи, јубиларне награде, накнаде трошкова погребних услуга и накнаде штете због повреде на раду или професионалног обољења).</w:t>
      </w:r>
    </w:p>
    <w:p w14:paraId="14F1AEBA" w14:textId="121C59DB" w:rsidR="00E54B40" w:rsidRPr="007009F2" w:rsidRDefault="009F15DC" w:rsidP="006267F2">
      <w:pPr>
        <w:pStyle w:val="Pasus"/>
        <w:numPr>
          <w:ilvl w:val="1"/>
          <w:numId w:val="1"/>
        </w:numPr>
        <w:ind w:left="1080"/>
        <w:rPr>
          <w:color w:val="222222"/>
          <w:shd w:val="clear" w:color="auto" w:fill="FFFFFF"/>
          <w:lang w:val="sr-Cyrl-RS"/>
        </w:rPr>
      </w:pPr>
      <w:r w:rsidRPr="007009F2">
        <w:rPr>
          <w:color w:val="222222"/>
          <w:shd w:val="clear" w:color="auto" w:fill="FFFFFF"/>
        </w:rPr>
        <w:t xml:space="preserve"> Трошкови за зараде, накнаде зарада и остале исплате запосленима</w:t>
      </w:r>
      <w:r w:rsidR="00A80F50">
        <w:rPr>
          <w:color w:val="222222"/>
          <w:shd w:val="clear" w:color="auto" w:fill="FFFFFF"/>
          <w:lang w:val="sr-Cyrl-RS"/>
        </w:rPr>
        <w:t xml:space="preserve"> </w:t>
      </w:r>
      <w:r w:rsidR="00C67CA9" w:rsidRPr="007009F2">
        <w:rPr>
          <w:color w:val="222222"/>
          <w:shd w:val="clear" w:color="auto" w:fill="FFFFFF"/>
          <w:lang w:val="sr-Cyrl-RS"/>
        </w:rPr>
        <w:t>(</w:t>
      </w:r>
      <w:r w:rsidR="00C67CA9" w:rsidRPr="007009F2">
        <w:rPr>
          <w:color w:val="222222"/>
          <w:shd w:val="clear" w:color="auto" w:fill="FFFFFF"/>
        </w:rPr>
        <w:t>D</w:t>
      </w:r>
      <w:r w:rsidRPr="007009F2">
        <w:rPr>
          <w:color w:val="222222"/>
          <w:shd w:val="clear" w:color="auto" w:fill="FFFFFF"/>
          <w:lang w:val="sr-Cyrl-RS"/>
        </w:rPr>
        <w:t>11) подразумевају ширу дефиницију и</w:t>
      </w:r>
      <w:r w:rsidR="001A0905" w:rsidRPr="007009F2">
        <w:rPr>
          <w:color w:val="222222"/>
          <w:shd w:val="clear" w:color="auto" w:fill="FFFFFF"/>
          <w:lang w:val="sr-Cyrl-RS"/>
        </w:rPr>
        <w:t>,</w:t>
      </w:r>
      <w:r w:rsidR="00C67CA9" w:rsidRPr="007009F2">
        <w:rPr>
          <w:color w:val="222222"/>
          <w:shd w:val="clear" w:color="auto" w:fill="FFFFFF"/>
          <w:lang w:val="sr-Cyrl-RS"/>
        </w:rPr>
        <w:t xml:space="preserve"> за раз</w:t>
      </w:r>
      <w:r w:rsidRPr="007009F2">
        <w:rPr>
          <w:color w:val="222222"/>
          <w:shd w:val="clear" w:color="auto" w:fill="FFFFFF"/>
          <w:lang w:val="sr-Cyrl-RS"/>
        </w:rPr>
        <w:t xml:space="preserve">лику од зараде дефинисане </w:t>
      </w:r>
      <w:r w:rsidR="00F11167">
        <w:rPr>
          <w:color w:val="222222"/>
          <w:shd w:val="clear" w:color="auto" w:fill="FFFFFF"/>
          <w:lang w:val="sr-Cyrl-RS"/>
        </w:rPr>
        <w:t>И</w:t>
      </w:r>
      <w:r w:rsidR="009F3B82" w:rsidRPr="007009F2">
        <w:rPr>
          <w:color w:val="222222"/>
          <w:shd w:val="clear" w:color="auto" w:fill="FFFFFF"/>
          <w:lang w:val="sr-Cyrl-RS"/>
        </w:rPr>
        <w:t xml:space="preserve">страживањем </w:t>
      </w:r>
      <w:r w:rsidR="00F11167">
        <w:rPr>
          <w:color w:val="222222"/>
          <w:shd w:val="clear" w:color="auto" w:fill="FFFFFF"/>
          <w:lang w:val="sr-Cyrl-RS"/>
        </w:rPr>
        <w:t>о зарадама</w:t>
      </w:r>
      <w:r w:rsidR="001A0905" w:rsidRPr="007009F2">
        <w:rPr>
          <w:color w:val="222222"/>
          <w:shd w:val="clear" w:color="auto" w:fill="FFFFFF"/>
          <w:lang w:val="sr-Cyrl-RS"/>
        </w:rPr>
        <w:t>,</w:t>
      </w:r>
      <w:r w:rsidRPr="007009F2">
        <w:rPr>
          <w:color w:val="222222"/>
          <w:shd w:val="clear" w:color="auto" w:fill="FFFFFF"/>
          <w:lang w:val="sr-Cyrl-RS"/>
        </w:rPr>
        <w:t xml:space="preserve"> обухватају </w:t>
      </w:r>
      <w:r w:rsidR="00C67CA9" w:rsidRPr="007009F2">
        <w:rPr>
          <w:color w:val="222222"/>
          <w:shd w:val="clear" w:color="auto" w:fill="FFFFFF"/>
          <w:lang w:val="sr-Cyrl-RS"/>
        </w:rPr>
        <w:t>и</w:t>
      </w:r>
      <w:r w:rsidRPr="007009F2">
        <w:rPr>
          <w:color w:val="222222"/>
          <w:shd w:val="clear" w:color="auto" w:fill="FFFFFF"/>
          <w:lang w:val="sr-Cyrl-RS"/>
        </w:rPr>
        <w:t xml:space="preserve"> </w:t>
      </w:r>
      <w:r w:rsidR="00C67CA9" w:rsidRPr="007009F2">
        <w:rPr>
          <w:color w:val="222222"/>
          <w:shd w:val="clear" w:color="auto" w:fill="FFFFFF"/>
        </w:rPr>
        <w:t>накнаде трошкова запосленима за превоз на посао и са посла у висини цене превозне карте у јавном саобраћају</w:t>
      </w:r>
      <w:r w:rsidR="00A27C71" w:rsidRPr="007009F2">
        <w:rPr>
          <w:color w:val="222222"/>
          <w:shd w:val="clear" w:color="auto" w:fill="FFFFFF"/>
          <w:lang w:val="sr-Cyrl-RS"/>
        </w:rPr>
        <w:t xml:space="preserve">, </w:t>
      </w:r>
      <w:r w:rsidR="00C67CA9" w:rsidRPr="007009F2">
        <w:rPr>
          <w:color w:val="222222"/>
          <w:shd w:val="clear" w:color="auto" w:fill="FFFFFF"/>
          <w:lang w:val="sr-Cyrl-RS"/>
        </w:rPr>
        <w:t>јубиларне награде</w:t>
      </w:r>
      <w:r w:rsidR="000E3980" w:rsidRPr="007009F2">
        <w:rPr>
          <w:color w:val="222222"/>
          <w:shd w:val="clear" w:color="auto" w:fill="FFFFFF"/>
          <w:lang w:val="sr-Cyrl-RS"/>
        </w:rPr>
        <w:t xml:space="preserve">, </w:t>
      </w:r>
      <w:r w:rsidR="00C67CA9" w:rsidRPr="007009F2">
        <w:rPr>
          <w:color w:val="222222"/>
          <w:shd w:val="clear" w:color="auto" w:fill="FFFFFF"/>
        </w:rPr>
        <w:t>теренски додатак и накнаду за одвојен живот, испл</w:t>
      </w:r>
      <w:r w:rsidR="00C67CA9" w:rsidRPr="007009F2">
        <w:rPr>
          <w:color w:val="222222"/>
          <w:shd w:val="clear" w:color="auto" w:fill="FFFFFF"/>
          <w:lang w:val="sr-Cyrl-RS"/>
        </w:rPr>
        <w:t>а</w:t>
      </w:r>
      <w:r w:rsidR="00C67CA9" w:rsidRPr="007009F2">
        <w:rPr>
          <w:color w:val="222222"/>
          <w:shd w:val="clear" w:color="auto" w:fill="FFFFFF"/>
        </w:rPr>
        <w:t>те запосленима у хартијама од вредности, исплате запосленима у натури и остала давања запосленима која се не сматрају зарадом</w:t>
      </w:r>
      <w:r w:rsidR="004D2C10" w:rsidRPr="007009F2">
        <w:rPr>
          <w:color w:val="222222"/>
          <w:shd w:val="clear" w:color="auto" w:fill="FFFFFF"/>
          <w:lang w:val="sr-Cyrl-RS"/>
        </w:rPr>
        <w:t>,</w:t>
      </w:r>
      <w:r w:rsidR="00C67CA9" w:rsidRPr="007009F2">
        <w:rPr>
          <w:color w:val="222222"/>
          <w:shd w:val="clear" w:color="auto" w:fill="FFFFFF"/>
        </w:rPr>
        <w:t xml:space="preserve"> као што су давања запосленима за поклоне деци запосленог (старости до 15 година живота за Божић и Нову годину) у вредности до неопорезивог износа</w:t>
      </w:r>
      <w:r w:rsidR="005965AE" w:rsidRPr="005965AE">
        <w:rPr>
          <w:color w:val="222222"/>
          <w:shd w:val="clear" w:color="auto" w:fill="FFFFFF"/>
          <w:lang w:val="sr-Cyrl-RS"/>
        </w:rPr>
        <w:t>,</w:t>
      </w:r>
      <w:r w:rsidR="00C67CA9" w:rsidRPr="005965AE">
        <w:rPr>
          <w:color w:val="222222"/>
          <w:shd w:val="clear" w:color="auto" w:fill="FFFFFF"/>
        </w:rPr>
        <w:t xml:space="preserve"> која су изузета</w:t>
      </w:r>
      <w:r w:rsidR="00C67CA9" w:rsidRPr="007009F2">
        <w:rPr>
          <w:color w:val="222222"/>
          <w:shd w:val="clear" w:color="auto" w:fill="FFFFFF"/>
        </w:rPr>
        <w:t xml:space="preserve"> из зараде (поклони поводом 8. марта и других празника, давања поклона деци преко 15 година старости и др.)</w:t>
      </w:r>
      <w:r w:rsidR="005965AE">
        <w:rPr>
          <w:color w:val="222222"/>
          <w:shd w:val="clear" w:color="auto" w:fill="FFFFFF"/>
          <w:lang w:val="sr-Cyrl-RS"/>
        </w:rPr>
        <w:t>,</w:t>
      </w:r>
      <w:r w:rsidR="00C67CA9" w:rsidRPr="007009F2">
        <w:rPr>
          <w:color w:val="222222"/>
          <w:shd w:val="clear" w:color="auto" w:fill="FFFFFF"/>
        </w:rPr>
        <w:t xml:space="preserve"> и све друге накнаде трошкова који су изузети из зараде</w:t>
      </w:r>
      <w:r w:rsidR="001822DC">
        <w:rPr>
          <w:color w:val="222222"/>
          <w:shd w:val="clear" w:color="auto" w:fill="FFFFFF"/>
          <w:lang w:val="en-US"/>
        </w:rPr>
        <w:t xml:space="preserve">. </w:t>
      </w:r>
      <w:r w:rsidR="00F11167">
        <w:rPr>
          <w:color w:val="222222"/>
          <w:shd w:val="clear" w:color="auto" w:fill="FFFFFF"/>
          <w:lang w:val="sr-Cyrl-RS"/>
        </w:rPr>
        <w:t>Поред тога</w:t>
      </w:r>
      <w:r w:rsidR="004048E9" w:rsidRPr="007009F2">
        <w:rPr>
          <w:color w:val="222222"/>
          <w:shd w:val="clear" w:color="auto" w:fill="FFFFFF"/>
          <w:lang w:val="sr-Cyrl-RS"/>
        </w:rPr>
        <w:t>, накна</w:t>
      </w:r>
      <w:r w:rsidR="008D6BB7">
        <w:rPr>
          <w:color w:val="222222"/>
          <w:shd w:val="clear" w:color="auto" w:fill="FFFFFF"/>
          <w:lang w:val="sr-Cyrl-RS"/>
        </w:rPr>
        <w:t>да зараде</w:t>
      </w:r>
      <w:r w:rsidR="004048E9" w:rsidRPr="007009F2">
        <w:rPr>
          <w:color w:val="222222"/>
          <w:shd w:val="clear" w:color="auto" w:fill="FFFFFF"/>
          <w:lang w:val="sr-Cyrl-RS"/>
        </w:rPr>
        <w:t xml:space="preserve"> за боловање до</w:t>
      </w:r>
      <w:r w:rsidR="00F741C1" w:rsidRPr="007009F2">
        <w:rPr>
          <w:color w:val="222222"/>
          <w:shd w:val="clear" w:color="auto" w:fill="FFFFFF"/>
          <w:lang w:val="sr-Cyrl-RS"/>
        </w:rPr>
        <w:t xml:space="preserve"> 30 дана, која је укључена у зарад</w:t>
      </w:r>
      <w:r w:rsidR="004048E9" w:rsidRPr="007009F2">
        <w:rPr>
          <w:color w:val="222222"/>
          <w:shd w:val="clear" w:color="auto" w:fill="FFFFFF"/>
          <w:lang w:val="sr-Cyrl-RS"/>
        </w:rPr>
        <w:t xml:space="preserve">у у </w:t>
      </w:r>
      <w:r w:rsidR="00F11167">
        <w:rPr>
          <w:color w:val="222222"/>
          <w:shd w:val="clear" w:color="auto" w:fill="FFFFFF"/>
          <w:lang w:val="sr-Cyrl-RS"/>
        </w:rPr>
        <w:t>И</w:t>
      </w:r>
      <w:r w:rsidR="000444E8" w:rsidRPr="007009F2">
        <w:rPr>
          <w:color w:val="222222"/>
          <w:shd w:val="clear" w:color="auto" w:fill="FFFFFF"/>
          <w:lang w:val="sr-Cyrl-RS"/>
        </w:rPr>
        <w:t xml:space="preserve">страживању </w:t>
      </w:r>
      <w:r w:rsidR="00F11167">
        <w:rPr>
          <w:color w:val="222222"/>
          <w:shd w:val="clear" w:color="auto" w:fill="FFFFFF"/>
          <w:lang w:val="sr-Cyrl-RS"/>
        </w:rPr>
        <w:t>о зарадама</w:t>
      </w:r>
      <w:r w:rsidR="004048E9" w:rsidRPr="007009F2">
        <w:rPr>
          <w:color w:val="222222"/>
          <w:shd w:val="clear" w:color="auto" w:fill="FFFFFF"/>
          <w:lang w:val="sr-Cyrl-RS"/>
        </w:rPr>
        <w:t xml:space="preserve">, </w:t>
      </w:r>
      <w:r w:rsidR="004048E9" w:rsidRPr="005965AE">
        <w:rPr>
          <w:color w:val="222222"/>
          <w:shd w:val="clear" w:color="auto" w:fill="FFFFFF"/>
          <w:lang w:val="sr-Cyrl-RS"/>
        </w:rPr>
        <w:t>у ИТР се сматра</w:t>
      </w:r>
      <w:r w:rsidR="004048E9" w:rsidRPr="007009F2">
        <w:rPr>
          <w:color w:val="222222"/>
          <w:shd w:val="clear" w:color="auto" w:fill="FFFFFF"/>
          <w:lang w:val="sr-Cyrl-RS"/>
        </w:rPr>
        <w:t xml:space="preserve"> </w:t>
      </w:r>
      <w:r w:rsidR="004048E9" w:rsidRPr="007009F2">
        <w:rPr>
          <w:bCs/>
          <w:color w:val="222222"/>
          <w:lang w:val="sr-Cyrl-RS"/>
        </w:rPr>
        <w:t>трошкови</w:t>
      </w:r>
      <w:r w:rsidR="004048E9" w:rsidRPr="007009F2">
        <w:rPr>
          <w:bCs/>
          <w:color w:val="222222"/>
        </w:rPr>
        <w:t>ма</w:t>
      </w:r>
      <w:r w:rsidR="004048E9" w:rsidRPr="007009F2">
        <w:rPr>
          <w:bCs/>
          <w:color w:val="222222"/>
          <w:lang w:val="sr-Cyrl-RS"/>
        </w:rPr>
        <w:t xml:space="preserve"> социјалних давања</w:t>
      </w:r>
      <w:r w:rsidR="004048E9" w:rsidRPr="007009F2">
        <w:rPr>
          <w:bCs/>
          <w:color w:val="222222"/>
        </w:rPr>
        <w:t xml:space="preserve"> (</w:t>
      </w:r>
      <w:r w:rsidR="008D6BB7">
        <w:rPr>
          <w:bCs/>
          <w:color w:val="222222"/>
          <w:lang w:val="sr-Cyrl-RS"/>
        </w:rPr>
        <w:t>D</w:t>
      </w:r>
      <w:r w:rsidR="004048E9" w:rsidRPr="007009F2">
        <w:rPr>
          <w:bCs/>
          <w:color w:val="222222"/>
          <w:lang w:val="sr-Cyrl-RS"/>
        </w:rPr>
        <w:t>122</w:t>
      </w:r>
      <w:r w:rsidR="004048E9" w:rsidRPr="007009F2">
        <w:rPr>
          <w:bCs/>
          <w:color w:val="222222"/>
        </w:rPr>
        <w:t>)</w:t>
      </w:r>
      <w:r w:rsidR="004048E9" w:rsidRPr="007009F2">
        <w:rPr>
          <w:bCs/>
          <w:color w:val="222222"/>
          <w:lang w:val="sr-Cyrl-RS"/>
        </w:rPr>
        <w:t>.</w:t>
      </w:r>
    </w:p>
    <w:p w14:paraId="16C8C753" w14:textId="77777777" w:rsidR="00E54B40" w:rsidRPr="007009F2" w:rsidRDefault="00E54B40" w:rsidP="006267F2">
      <w:pPr>
        <w:pStyle w:val="ListParagraph"/>
        <w:ind w:left="1211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14:paraId="2F938602" w14:textId="236D2401" w:rsidR="006A4DC0" w:rsidRPr="009D27B8" w:rsidRDefault="005074E5" w:rsidP="006267F2">
      <w:pPr>
        <w:pStyle w:val="Pasus"/>
        <w:numPr>
          <w:ilvl w:val="0"/>
          <w:numId w:val="1"/>
        </w:numPr>
        <w:ind w:left="360"/>
        <w:rPr>
          <w:rFonts w:eastAsiaTheme="minorHAnsi"/>
          <w:color w:val="222222"/>
          <w:shd w:val="clear" w:color="auto" w:fill="FFFFFF"/>
          <w:lang w:val="sr-Cyrl-RS"/>
        </w:rPr>
      </w:pPr>
      <w:r w:rsidRPr="007009F2">
        <w:rPr>
          <w:b/>
          <w:color w:val="222222"/>
          <w:shd w:val="clear" w:color="auto" w:fill="FFFFFF"/>
          <w:lang w:val="sr-Cyrl-RS"/>
        </w:rPr>
        <w:t>Обухват ис</w:t>
      </w:r>
      <w:r w:rsidR="00096AD5">
        <w:rPr>
          <w:b/>
          <w:color w:val="222222"/>
          <w:shd w:val="clear" w:color="auto" w:fill="FFFFFF"/>
          <w:lang w:val="sr-Cyrl-RS"/>
        </w:rPr>
        <w:t>траживања и методологија узорка</w:t>
      </w:r>
      <w:r w:rsidRPr="007009F2">
        <w:rPr>
          <w:color w:val="222222"/>
          <w:shd w:val="clear" w:color="auto" w:fill="FFFFFF"/>
          <w:lang w:val="sr-Cyrl-RS"/>
        </w:rPr>
        <w:t xml:space="preserve"> </w:t>
      </w:r>
    </w:p>
    <w:p w14:paraId="1FA12955" w14:textId="0EBEFC20" w:rsidR="00DC74AA" w:rsidRPr="006267F2" w:rsidRDefault="006267F2" w:rsidP="00102EE3">
      <w:pPr>
        <w:pStyle w:val="Pasus"/>
        <w:numPr>
          <w:ilvl w:val="1"/>
          <w:numId w:val="1"/>
        </w:numPr>
        <w:ind w:left="810" w:firstLine="0"/>
        <w:rPr>
          <w:rFonts w:eastAsiaTheme="minorHAnsi"/>
          <w:color w:val="222222"/>
          <w:shd w:val="clear" w:color="auto" w:fill="FFFFFF"/>
          <w:lang w:val="sr-Cyrl-RS"/>
        </w:rPr>
      </w:pPr>
      <w:r w:rsidRPr="006267F2">
        <w:rPr>
          <w:rFonts w:eastAsiaTheme="minorHAnsi"/>
          <w:color w:val="222222"/>
          <w:shd w:val="clear" w:color="auto" w:fill="FFFFFF"/>
          <w:lang w:val="sr-Cyrl-RS"/>
        </w:rPr>
        <w:t xml:space="preserve">    </w:t>
      </w:r>
      <w:r w:rsidR="00DC74AA" w:rsidRPr="006267F2">
        <w:rPr>
          <w:rFonts w:eastAsiaTheme="minorHAnsi"/>
          <w:color w:val="222222"/>
          <w:shd w:val="clear" w:color="auto" w:fill="FFFFFF"/>
          <w:lang w:val="sr-Cyrl-RS"/>
        </w:rPr>
        <w:t xml:space="preserve">Истраживање о зарадама заснива се на подацима из евиденције Пореске управе, са </w:t>
      </w:r>
      <w:r w:rsidRPr="006267F2">
        <w:rPr>
          <w:rFonts w:eastAsiaTheme="minorHAnsi"/>
          <w:color w:val="222222"/>
          <w:shd w:val="clear" w:color="auto" w:fill="FFFFFF"/>
          <w:lang w:val="sr-Cyrl-RS"/>
        </w:rPr>
        <w:t xml:space="preserve">  </w:t>
      </w:r>
      <w:r w:rsidR="00DC74AA" w:rsidRPr="006267F2">
        <w:rPr>
          <w:rFonts w:eastAsiaTheme="minorHAnsi"/>
          <w:color w:val="222222"/>
          <w:shd w:val="clear" w:color="auto" w:fill="FFFFFF"/>
          <w:lang w:val="sr-Cyrl-RS"/>
        </w:rPr>
        <w:t>обрасца Појединачне пореске пријаве о обрачунатим порезима и доприносима (образац ППП-ПД).</w:t>
      </w:r>
    </w:p>
    <w:p w14:paraId="626CFD0D" w14:textId="234B1ED7" w:rsidR="00E7164F" w:rsidRPr="00E7164F" w:rsidRDefault="00DC74AA" w:rsidP="006267F2">
      <w:pPr>
        <w:pStyle w:val="Pasus"/>
        <w:ind w:left="720" w:firstLine="0"/>
        <w:rPr>
          <w:rFonts w:eastAsiaTheme="minorHAnsi"/>
          <w:color w:val="222222"/>
          <w:shd w:val="clear" w:color="auto" w:fill="FFFFFF"/>
          <w:lang w:val="sr-Cyrl-RS"/>
        </w:rPr>
      </w:pPr>
      <w:r w:rsidRPr="00DC74AA">
        <w:rPr>
          <w:rFonts w:eastAsiaTheme="minorHAnsi"/>
          <w:color w:val="222222"/>
          <w:shd w:val="clear" w:color="auto" w:fill="FFFFFF"/>
          <w:lang w:val="sr-Cyrl-RS"/>
        </w:rPr>
        <w:t>Просечне зараде израчунавају се на основу укупног износа обрачунатих зарада за извештајни месец и броја запослених који је изражен еквивалентом пуног радног времена (full-time equivalent – FTE).</w:t>
      </w:r>
      <w:r w:rsidR="006267F2">
        <w:rPr>
          <w:rFonts w:eastAsiaTheme="minorHAnsi"/>
          <w:color w:val="222222"/>
          <w:shd w:val="clear" w:color="auto" w:fill="FFFFFF"/>
          <w:lang w:val="sr-Cyrl-RS"/>
        </w:rPr>
        <w:t xml:space="preserve"> </w:t>
      </w:r>
      <w:r w:rsidR="00E7164F" w:rsidRPr="00E7164F">
        <w:rPr>
          <w:rFonts w:eastAsiaTheme="minorHAnsi"/>
          <w:color w:val="222222"/>
          <w:shd w:val="clear" w:color="auto" w:fill="FFFFFF"/>
          <w:lang w:val="sr-Cyrl-RS"/>
        </w:rPr>
        <w:t>Обухваћени су сви пословни субјекти, евидентирани у Статистичком пословном регистру (СПР), који су Пореској управи доставили електронски попуњен образац пореске пријаве ППП-ПД са обрачунатим зарадама.</w:t>
      </w:r>
    </w:p>
    <w:p w14:paraId="0A34D722" w14:textId="77777777" w:rsidR="00E7164F" w:rsidRPr="00E7164F" w:rsidRDefault="00E7164F" w:rsidP="006267F2">
      <w:pPr>
        <w:pStyle w:val="Pasus"/>
        <w:ind w:left="1931"/>
        <w:rPr>
          <w:rFonts w:eastAsiaTheme="minorHAnsi"/>
          <w:color w:val="222222"/>
          <w:shd w:val="clear" w:color="auto" w:fill="FFFFFF"/>
          <w:lang w:val="sr-Cyrl-RS"/>
        </w:rPr>
      </w:pPr>
    </w:p>
    <w:p w14:paraId="1E33542C" w14:textId="72D9703B" w:rsidR="00810769" w:rsidRPr="007009F2" w:rsidRDefault="005074E5" w:rsidP="006267F2">
      <w:pPr>
        <w:pStyle w:val="Pasus"/>
        <w:numPr>
          <w:ilvl w:val="1"/>
          <w:numId w:val="1"/>
        </w:numPr>
        <w:ind w:left="1080"/>
        <w:rPr>
          <w:rFonts w:eastAsiaTheme="minorHAnsi"/>
          <w:color w:val="222222"/>
          <w:shd w:val="clear" w:color="auto" w:fill="FFFFFF"/>
          <w:lang w:val="en-US"/>
        </w:rPr>
      </w:pPr>
      <w:r w:rsidRPr="007009F2">
        <w:rPr>
          <w:color w:val="222222"/>
          <w:shd w:val="clear" w:color="auto" w:fill="FFFFFF"/>
        </w:rPr>
        <w:t xml:space="preserve">ИТР је истраживање на бази случајног узорка којe обухвата </w:t>
      </w:r>
      <w:r w:rsidRPr="007009F2">
        <w:rPr>
          <w:color w:val="222222"/>
          <w:shd w:val="clear" w:color="auto" w:fill="FFFFFF"/>
          <w:lang w:val="sr-Cyrl-RS"/>
        </w:rPr>
        <w:t>пословне субјекте (</w:t>
      </w:r>
      <w:r w:rsidR="002642F4" w:rsidRPr="007009F2">
        <w:rPr>
          <w:color w:val="222222"/>
          <w:shd w:val="clear" w:color="auto" w:fill="FFFFFF"/>
          <w:lang w:val="sr-Cyrl-RS"/>
        </w:rPr>
        <w:t>правна лица</w:t>
      </w:r>
      <w:r w:rsidRPr="007009F2">
        <w:rPr>
          <w:color w:val="222222"/>
          <w:shd w:val="clear" w:color="auto" w:fill="FFFFFF"/>
        </w:rPr>
        <w:t xml:space="preserve"> и предузетнике</w:t>
      </w:r>
      <w:r w:rsidRPr="007009F2">
        <w:rPr>
          <w:color w:val="222222"/>
          <w:shd w:val="clear" w:color="auto" w:fill="FFFFFF"/>
          <w:lang w:val="sr-Cyrl-RS"/>
        </w:rPr>
        <w:t>)</w:t>
      </w:r>
      <w:r w:rsidRPr="007009F2">
        <w:rPr>
          <w:color w:val="222222"/>
          <w:shd w:val="clear" w:color="auto" w:fill="FFFFFF"/>
        </w:rPr>
        <w:t xml:space="preserve"> са 10 и више запослених.</w:t>
      </w:r>
    </w:p>
    <w:p w14:paraId="1AB37EA6" w14:textId="77777777" w:rsidR="007009F2" w:rsidRPr="007009F2" w:rsidRDefault="007009F2" w:rsidP="006267F2">
      <w:pPr>
        <w:pStyle w:val="Pasus"/>
        <w:ind w:left="1080" w:firstLine="0"/>
        <w:rPr>
          <w:rFonts w:eastAsiaTheme="minorHAnsi"/>
          <w:color w:val="222222"/>
          <w:shd w:val="clear" w:color="auto" w:fill="FFFFFF"/>
          <w:lang w:val="en-US"/>
        </w:rPr>
      </w:pPr>
    </w:p>
    <w:p w14:paraId="2EB8C681" w14:textId="77777777" w:rsidR="009D27B8" w:rsidRPr="009D27B8" w:rsidRDefault="009D27B8" w:rsidP="006267F2">
      <w:pPr>
        <w:pStyle w:val="Pasus"/>
        <w:ind w:left="1080" w:firstLine="0"/>
        <w:rPr>
          <w:rFonts w:eastAsiaTheme="minorHAnsi"/>
          <w:color w:val="222222"/>
          <w:shd w:val="clear" w:color="auto" w:fill="FFFFFF"/>
          <w:lang w:val="sr-Cyrl-RS"/>
        </w:rPr>
      </w:pPr>
    </w:p>
    <w:p w14:paraId="6505838C" w14:textId="49475A75" w:rsidR="009D27B8" w:rsidRDefault="009D27B8" w:rsidP="006267F2">
      <w:pPr>
        <w:pStyle w:val="Pasus"/>
        <w:ind w:left="0" w:firstLine="0"/>
        <w:rPr>
          <w:b/>
          <w:color w:val="222222"/>
          <w:shd w:val="clear" w:color="auto" w:fill="FFFFFF"/>
          <w:lang w:val="sr-Cyrl-RS"/>
        </w:rPr>
      </w:pPr>
      <w:r>
        <w:rPr>
          <w:b/>
          <w:color w:val="222222"/>
          <w:shd w:val="clear" w:color="auto" w:fill="FFFFFF"/>
          <w:lang w:val="sr-Cyrl-RS"/>
        </w:rPr>
        <w:t xml:space="preserve">- </w:t>
      </w:r>
      <w:r w:rsidR="000444E8" w:rsidRPr="009D27B8">
        <w:rPr>
          <w:b/>
          <w:color w:val="222222"/>
          <w:shd w:val="clear" w:color="auto" w:fill="FFFFFF"/>
          <w:lang w:val="sr-Cyrl-RS"/>
        </w:rPr>
        <w:t>Остале разлике</w:t>
      </w:r>
    </w:p>
    <w:p w14:paraId="75153E9D" w14:textId="7DCFEA28" w:rsidR="001E4EDD" w:rsidRPr="00102EE3" w:rsidRDefault="001E4EDD" w:rsidP="00102EE3">
      <w:pPr>
        <w:pStyle w:val="NormalWeb"/>
        <w:shd w:val="clear" w:color="auto" w:fill="FFFFFF"/>
        <w:spacing w:before="30" w:beforeAutospacing="0" w:after="30" w:afterAutospacing="0"/>
        <w:ind w:left="720"/>
        <w:jc w:val="both"/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  <w:lang w:val="sr-Cyrl-RS"/>
        </w:rPr>
      </w:pPr>
      <w:r w:rsidRPr="001E4EDD">
        <w:rPr>
          <w:color w:val="222222"/>
          <w:shd w:val="clear" w:color="auto" w:fill="FFFFFF"/>
          <w:lang w:val="sr-Cyrl-RS"/>
        </w:rPr>
        <w:t xml:space="preserve">   o</w:t>
      </w:r>
      <w:r w:rsidR="006267F2">
        <w:rPr>
          <w:color w:val="222222"/>
          <w:shd w:val="clear" w:color="auto" w:fill="FFFFFF"/>
          <w:lang w:val="sr-Cyrl-RS"/>
        </w:rPr>
        <w:t xml:space="preserve"> </w:t>
      </w:r>
      <w:r w:rsidRPr="00102EE3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  <w:lang w:val="sr-Cyrl-RS"/>
        </w:rPr>
        <w:t xml:space="preserve">При израчунавању просечних зарада обухваћени су сви подаци из образаца пореских </w:t>
      </w:r>
      <w:r w:rsidR="006267F2" w:rsidRPr="00102EE3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  <w:lang w:val="sr-Cyrl-RS"/>
        </w:rPr>
        <w:t xml:space="preserve">  </w:t>
      </w:r>
      <w:r w:rsidR="00102EE3" w:rsidRPr="00102EE3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  <w:lang w:val="sr-Cyrl-RS"/>
        </w:rPr>
        <w:t xml:space="preserve">    </w:t>
      </w:r>
      <w:r w:rsidRPr="00102EE3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  <w:lang w:val="sr-Cyrl-RS"/>
        </w:rPr>
        <w:t>пријава које су поднете у року од 45 дана по истеку месеца на који се односе просечне зараде.</w:t>
      </w:r>
    </w:p>
    <w:p w14:paraId="4B100F8F" w14:textId="08B3FFDF" w:rsidR="001E4EDD" w:rsidRPr="00A356C5" w:rsidRDefault="001E4EDD" w:rsidP="006267F2">
      <w:pPr>
        <w:pStyle w:val="NormalWeb"/>
        <w:shd w:val="clear" w:color="auto" w:fill="FFFFFF"/>
        <w:spacing w:before="30" w:beforeAutospacing="0" w:after="30" w:afterAutospacing="0"/>
        <w:ind w:left="720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02EE3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  <w:lang w:val="sr-Cyrl-RS"/>
        </w:rPr>
        <w:t>Просечне зараде се добију дељењем укупне масе обрачунатих зарада са укупним бројем запослених, исказаних еквивалентом пуног радног времена.</w:t>
      </w:r>
      <w:r w:rsidR="00A356C5" w:rsidRPr="00102EE3">
        <w:rPr>
          <w:rFonts w:ascii="Arial" w:eastAsiaTheme="minorHAnsi" w:hAnsi="Arial" w:cs="Arial"/>
          <w:color w:val="222222"/>
          <w:sz w:val="20"/>
          <w:szCs w:val="20"/>
          <w:shd w:val="clear" w:color="auto" w:fill="FFFFFF"/>
          <w:lang w:val="sr-Cyrl-RS"/>
        </w:rPr>
        <w:t xml:space="preserve"> Број запослених којима је обрачуната зарада рачуна се из броја плаћених часова рада</w:t>
      </w:r>
      <w:r w:rsidR="00A356C5" w:rsidRPr="00A356C5">
        <w:rPr>
          <w:rFonts w:ascii="Arial" w:hAnsi="Arial" w:cs="Arial"/>
          <w:color w:val="000000"/>
          <w:sz w:val="20"/>
          <w:szCs w:val="20"/>
          <w:lang w:val="sr-Cyrl-RS"/>
        </w:rPr>
        <w:t>.</w:t>
      </w:r>
    </w:p>
    <w:p w14:paraId="4231CAF9" w14:textId="4942F40C" w:rsidR="001E4EDD" w:rsidRPr="00C850DF" w:rsidRDefault="001E4EDD" w:rsidP="006267F2">
      <w:pPr>
        <w:pStyle w:val="NormalWeb"/>
        <w:shd w:val="clear" w:color="auto" w:fill="FFFFFF"/>
        <w:spacing w:before="30" w:beforeAutospacing="0" w:after="30" w:afterAutospacing="0"/>
        <w:ind w:left="720"/>
        <w:jc w:val="both"/>
        <w:rPr>
          <w:rFonts w:ascii="Arial" w:hAnsi="Arial" w:cs="Arial"/>
          <w:color w:val="000000"/>
          <w:sz w:val="20"/>
          <w:szCs w:val="20"/>
          <w:lang w:val="sr-Cyrl-RS"/>
        </w:rPr>
      </w:pPr>
      <w:r w:rsidRPr="001E4EDD">
        <w:rPr>
          <w:rFonts w:ascii="Arial" w:hAnsi="Arial" w:cs="Arial"/>
          <w:color w:val="000000"/>
          <w:sz w:val="20"/>
          <w:szCs w:val="20"/>
        </w:rPr>
        <w:t>У </w:t>
      </w:r>
      <w:proofErr w:type="spellStart"/>
      <w:r w:rsidRPr="001E4EDD">
        <w:rPr>
          <w:rFonts w:ascii="Arial" w:hAnsi="Arial" w:cs="Arial"/>
          <w:color w:val="000000"/>
          <w:sz w:val="20"/>
          <w:szCs w:val="20"/>
        </w:rPr>
        <w:t>зависности</w:t>
      </w:r>
      <w:proofErr w:type="spellEnd"/>
      <w:r w:rsidRPr="001E4E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E4EDD"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 w:rsidRPr="001E4E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E4EDD">
        <w:rPr>
          <w:rFonts w:ascii="Arial" w:hAnsi="Arial" w:cs="Arial"/>
          <w:color w:val="000000"/>
          <w:sz w:val="20"/>
          <w:szCs w:val="20"/>
        </w:rPr>
        <w:t>броја</w:t>
      </w:r>
      <w:proofErr w:type="spellEnd"/>
      <w:r w:rsidRPr="001E4E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E4EDD">
        <w:rPr>
          <w:rFonts w:ascii="Arial" w:hAnsi="Arial" w:cs="Arial"/>
          <w:color w:val="000000"/>
          <w:sz w:val="20"/>
          <w:szCs w:val="20"/>
        </w:rPr>
        <w:t>часова</w:t>
      </w:r>
      <w:proofErr w:type="spellEnd"/>
      <w:r w:rsidRPr="001E4E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E4EDD">
        <w:rPr>
          <w:rFonts w:ascii="Arial" w:hAnsi="Arial" w:cs="Arial"/>
          <w:color w:val="000000"/>
          <w:sz w:val="20"/>
          <w:szCs w:val="20"/>
        </w:rPr>
        <w:t>проведених</w:t>
      </w:r>
      <w:proofErr w:type="spellEnd"/>
      <w:r w:rsidRPr="001E4E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E4EDD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1E4E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E4EDD">
        <w:rPr>
          <w:rFonts w:ascii="Arial" w:hAnsi="Arial" w:cs="Arial"/>
          <w:color w:val="000000"/>
          <w:sz w:val="20"/>
          <w:szCs w:val="20"/>
        </w:rPr>
        <w:t>раду</w:t>
      </w:r>
      <w:proofErr w:type="spellEnd"/>
      <w:r w:rsidRPr="001E4ED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1E4EDD">
        <w:rPr>
          <w:rFonts w:ascii="Arial" w:hAnsi="Arial" w:cs="Arial"/>
          <w:color w:val="000000"/>
          <w:sz w:val="20"/>
          <w:szCs w:val="20"/>
        </w:rPr>
        <w:t>сваком</w:t>
      </w:r>
      <w:proofErr w:type="spellEnd"/>
      <w:r w:rsidRPr="001E4E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E4EDD">
        <w:rPr>
          <w:rFonts w:ascii="Arial" w:hAnsi="Arial" w:cs="Arial"/>
          <w:color w:val="000000"/>
          <w:sz w:val="20"/>
          <w:szCs w:val="20"/>
        </w:rPr>
        <w:t>запосленом</w:t>
      </w:r>
      <w:proofErr w:type="spellEnd"/>
      <w:r w:rsidRPr="001E4E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E4EDD">
        <w:rPr>
          <w:rFonts w:ascii="Arial" w:hAnsi="Arial" w:cs="Arial"/>
          <w:color w:val="000000"/>
          <w:sz w:val="20"/>
          <w:szCs w:val="20"/>
        </w:rPr>
        <w:t>се</w:t>
      </w:r>
      <w:proofErr w:type="spellEnd"/>
      <w:r w:rsidRPr="001E4E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E4EDD">
        <w:rPr>
          <w:rFonts w:ascii="Arial" w:hAnsi="Arial" w:cs="Arial"/>
          <w:color w:val="000000"/>
          <w:sz w:val="20"/>
          <w:szCs w:val="20"/>
        </w:rPr>
        <w:t>додељује</w:t>
      </w:r>
      <w:proofErr w:type="spellEnd"/>
      <w:r w:rsidRPr="001E4E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E4EDD">
        <w:rPr>
          <w:rFonts w:ascii="Arial" w:hAnsi="Arial" w:cs="Arial"/>
          <w:color w:val="000000"/>
          <w:sz w:val="20"/>
          <w:szCs w:val="20"/>
        </w:rPr>
        <w:t>коефицијент</w:t>
      </w:r>
      <w:proofErr w:type="spellEnd"/>
      <w:r w:rsidRPr="001E4EDD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1E4EDD">
        <w:rPr>
          <w:rFonts w:ascii="Arial" w:hAnsi="Arial" w:cs="Arial"/>
          <w:color w:val="000000"/>
          <w:sz w:val="20"/>
          <w:szCs w:val="20"/>
        </w:rPr>
        <w:t>вредности</w:t>
      </w:r>
      <w:proofErr w:type="spellEnd"/>
      <w:r w:rsidRPr="001E4E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E4EDD">
        <w:rPr>
          <w:rFonts w:ascii="Arial" w:hAnsi="Arial" w:cs="Arial"/>
          <w:color w:val="000000"/>
          <w:sz w:val="20"/>
          <w:szCs w:val="20"/>
        </w:rPr>
        <w:t>од</w:t>
      </w:r>
      <w:proofErr w:type="spellEnd"/>
      <w:r w:rsidRPr="001E4EDD">
        <w:rPr>
          <w:rFonts w:ascii="Arial" w:hAnsi="Arial" w:cs="Arial"/>
          <w:color w:val="000000"/>
          <w:sz w:val="20"/>
          <w:szCs w:val="20"/>
        </w:rPr>
        <w:t xml:space="preserve"> 0-1</w:t>
      </w:r>
      <w:r w:rsidR="00102EE3" w:rsidRPr="001E4EDD">
        <w:rPr>
          <w:rFonts w:ascii="Arial" w:hAnsi="Arial" w:cs="Arial"/>
          <w:color w:val="000000"/>
          <w:sz w:val="20"/>
          <w:szCs w:val="20"/>
        </w:rPr>
        <w:t>, 5</w:t>
      </w:r>
      <w:r w:rsidRPr="001E4EDD">
        <w:rPr>
          <w:rFonts w:ascii="Arial" w:hAnsi="Arial" w:cs="Arial"/>
          <w:color w:val="000000"/>
          <w:sz w:val="20"/>
          <w:szCs w:val="20"/>
        </w:rPr>
        <w:t>. </w:t>
      </w:r>
      <w:r w:rsidR="00C850DF">
        <w:rPr>
          <w:rFonts w:ascii="Arial" w:hAnsi="Arial" w:cs="Arial"/>
          <w:color w:val="000000"/>
          <w:sz w:val="20"/>
          <w:szCs w:val="20"/>
          <w:lang w:val="sr-Cyrl-RS"/>
        </w:rPr>
        <w:t>Збир коефицијената даје укупан број запослених.</w:t>
      </w:r>
    </w:p>
    <w:p w14:paraId="79513F11" w14:textId="645AB7BF" w:rsidR="001E4EDD" w:rsidRPr="001E4EDD" w:rsidRDefault="001E4EDD" w:rsidP="006267F2">
      <w:pPr>
        <w:pStyle w:val="Pasus"/>
        <w:ind w:left="720" w:firstLine="0"/>
        <w:rPr>
          <w:color w:val="222222"/>
          <w:shd w:val="clear" w:color="auto" w:fill="FFFFFF"/>
          <w:lang w:val="sr-Cyrl-RS"/>
        </w:rPr>
      </w:pPr>
    </w:p>
    <w:p w14:paraId="1FA93BE1" w14:textId="77777777" w:rsidR="009D27B8" w:rsidRPr="009D27B8" w:rsidRDefault="009D27B8" w:rsidP="006267F2">
      <w:pPr>
        <w:pStyle w:val="Pasus"/>
        <w:ind w:left="0" w:firstLine="0"/>
        <w:rPr>
          <w:b/>
          <w:color w:val="222222"/>
          <w:shd w:val="clear" w:color="auto" w:fill="FFFFFF"/>
          <w:lang w:val="sr-Cyrl-RS"/>
        </w:rPr>
      </w:pPr>
    </w:p>
    <w:p w14:paraId="24741EB2" w14:textId="77777777" w:rsidR="009D27B8" w:rsidRPr="009D27B8" w:rsidRDefault="009D27B8" w:rsidP="006267F2">
      <w:pPr>
        <w:pStyle w:val="Pasus"/>
        <w:ind w:left="1080" w:firstLine="0"/>
        <w:rPr>
          <w:rFonts w:eastAsiaTheme="minorHAnsi"/>
          <w:color w:val="222222"/>
          <w:shd w:val="clear" w:color="auto" w:fill="FFFFFF"/>
          <w:lang w:val="sr-Cyrl-RS"/>
        </w:rPr>
      </w:pPr>
    </w:p>
    <w:p w14:paraId="620AD628" w14:textId="271A8CDD" w:rsidR="002C0BE5" w:rsidRPr="007009F2" w:rsidRDefault="002C0BE5" w:rsidP="006267F2">
      <w:pPr>
        <w:pStyle w:val="Pasus"/>
        <w:numPr>
          <w:ilvl w:val="1"/>
          <w:numId w:val="1"/>
        </w:numPr>
        <w:ind w:left="480"/>
        <w:rPr>
          <w:rFonts w:eastAsiaTheme="minorHAnsi"/>
          <w:color w:val="222222"/>
          <w:shd w:val="clear" w:color="auto" w:fill="FFFFFF"/>
          <w:lang w:val="sr-Cyrl-RS"/>
        </w:rPr>
      </w:pPr>
      <w:r w:rsidRPr="005965AE">
        <w:rPr>
          <w:color w:val="222222"/>
          <w:shd w:val="clear" w:color="auto" w:fill="FFFFFF"/>
          <w:lang w:val="sr-Cyrl-RS"/>
        </w:rPr>
        <w:t>У ИТР у обзир</w:t>
      </w:r>
      <w:r w:rsidRPr="007009F2">
        <w:rPr>
          <w:color w:val="222222"/>
          <w:shd w:val="clear" w:color="auto" w:fill="FFFFFF"/>
          <w:lang w:val="sr-Cyrl-RS"/>
        </w:rPr>
        <w:t xml:space="preserve"> се узимају запослени који су примили зараду или накнаду зараде</w:t>
      </w:r>
      <w:r w:rsidR="00941B0E">
        <w:rPr>
          <w:color w:val="222222"/>
          <w:shd w:val="clear" w:color="auto" w:fill="FFFFFF"/>
          <w:lang w:val="sr-Cyrl-RS"/>
        </w:rPr>
        <w:t>, д</w:t>
      </w:r>
      <w:r w:rsidRPr="007009F2">
        <w:rPr>
          <w:color w:val="222222"/>
          <w:shd w:val="clear" w:color="auto" w:fill="FFFFFF"/>
          <w:lang w:val="sr-Cyrl-RS"/>
        </w:rPr>
        <w:t>ок се масе трошкова за зараде, накнаде зарада и остале исплате (D11)</w:t>
      </w:r>
      <w:r w:rsidR="009201A7" w:rsidRPr="007009F2">
        <w:rPr>
          <w:color w:val="222222"/>
          <w:shd w:val="clear" w:color="auto" w:fill="FFFFFF"/>
          <w:lang w:val="sr-Latn-RS"/>
        </w:rPr>
        <w:t>,</w:t>
      </w:r>
      <w:r w:rsidRPr="007009F2">
        <w:rPr>
          <w:color w:val="222222"/>
          <w:shd w:val="clear" w:color="auto" w:fill="FFFFFF"/>
          <w:lang w:val="sr-Cyrl-RS"/>
        </w:rPr>
        <w:t xml:space="preserve"> </w:t>
      </w:r>
      <w:r w:rsidR="000643F7" w:rsidRPr="007009F2">
        <w:rPr>
          <w:color w:val="222222"/>
          <w:shd w:val="clear" w:color="auto" w:fill="FFFFFF"/>
          <w:lang w:val="sr-Cyrl-RS"/>
        </w:rPr>
        <w:t xml:space="preserve">које се односе на календарску годину, </w:t>
      </w:r>
      <w:r w:rsidRPr="007009F2">
        <w:rPr>
          <w:color w:val="222222"/>
          <w:shd w:val="clear" w:color="auto" w:fill="FFFFFF"/>
          <w:lang w:val="sr-Cyrl-RS"/>
        </w:rPr>
        <w:t>деле са бројем запослених који је изражен</w:t>
      </w:r>
      <w:r w:rsidR="009B719C" w:rsidRPr="007009F2">
        <w:rPr>
          <w:color w:val="222222"/>
          <w:shd w:val="clear" w:color="auto" w:fill="FFFFFF"/>
          <w:lang w:val="sr-Cyrl-RS"/>
        </w:rPr>
        <w:t xml:space="preserve"> у</w:t>
      </w:r>
      <w:r w:rsidRPr="007009F2">
        <w:rPr>
          <w:color w:val="222222"/>
          <w:shd w:val="clear" w:color="auto" w:fill="FFFFFF"/>
          <w:lang w:val="sr-Cyrl-RS"/>
        </w:rPr>
        <w:t xml:space="preserve"> </w:t>
      </w:r>
      <w:r w:rsidR="009B719C" w:rsidRPr="007009F2">
        <w:rPr>
          <w:color w:val="222222"/>
          <w:shd w:val="clear" w:color="auto" w:fill="FFFFFF"/>
          <w:lang w:val="sr-Cyrl-RS"/>
        </w:rPr>
        <w:t xml:space="preserve">еквивалентима </w:t>
      </w:r>
      <w:r w:rsidRPr="007009F2">
        <w:rPr>
          <w:color w:val="222222"/>
          <w:shd w:val="clear" w:color="auto" w:fill="FFFFFF"/>
          <w:lang w:val="sr-Cyrl-RS"/>
        </w:rPr>
        <w:t>пуног радног времена (</w:t>
      </w:r>
      <w:r w:rsidRPr="009E3ED8">
        <w:rPr>
          <w:i/>
          <w:color w:val="222222"/>
          <w:shd w:val="clear" w:color="auto" w:fill="FFFFFF"/>
          <w:lang w:val="sr-Cyrl-RS"/>
        </w:rPr>
        <w:t>full-time equivalent</w:t>
      </w:r>
      <w:r w:rsidRPr="007009F2">
        <w:rPr>
          <w:color w:val="222222"/>
          <w:shd w:val="clear" w:color="auto" w:fill="FFFFFF"/>
          <w:lang w:val="sr-Cyrl-RS"/>
        </w:rPr>
        <w:t xml:space="preserve"> – FTE).</w:t>
      </w:r>
    </w:p>
    <w:p w14:paraId="7C299C33" w14:textId="635A47BD" w:rsidR="009201A7" w:rsidRPr="007009F2" w:rsidRDefault="009201A7" w:rsidP="001F40E2">
      <w:pPr>
        <w:pStyle w:val="Pasus"/>
        <w:ind w:left="0"/>
        <w:rPr>
          <w:color w:val="222222"/>
          <w:shd w:val="clear" w:color="auto" w:fill="FFFFFF"/>
          <w:lang w:val="sr-Cyrl-RS"/>
        </w:rPr>
      </w:pPr>
    </w:p>
    <w:p w14:paraId="197EF734" w14:textId="36DE3BB1" w:rsidR="009201A7" w:rsidRDefault="009201A7" w:rsidP="009201A7">
      <w:pPr>
        <w:pStyle w:val="Pasus"/>
        <w:rPr>
          <w:color w:val="222222"/>
          <w:sz w:val="18"/>
          <w:szCs w:val="18"/>
          <w:shd w:val="clear" w:color="auto" w:fill="FFFFFF"/>
          <w:lang w:val="sr-Cyrl-RS"/>
        </w:rPr>
      </w:pPr>
    </w:p>
    <w:p w14:paraId="06A4B8D1" w14:textId="77777777" w:rsidR="009201A7" w:rsidRPr="000B62B5" w:rsidRDefault="009201A7" w:rsidP="009201A7">
      <w:pPr>
        <w:pStyle w:val="Pasus"/>
        <w:rPr>
          <w:rFonts w:eastAsiaTheme="minorHAnsi"/>
          <w:sz w:val="18"/>
          <w:szCs w:val="18"/>
          <w:shd w:val="clear" w:color="auto" w:fill="FFFFFF"/>
          <w:lang w:val="sr-Cyrl-RS"/>
        </w:rPr>
      </w:pPr>
    </w:p>
    <w:p w14:paraId="0DC12557" w14:textId="77777777" w:rsidR="005C7697" w:rsidRDefault="005C7697" w:rsidP="005C7697">
      <w:pPr>
        <w:pStyle w:val="Pasus"/>
        <w:ind w:left="-990" w:firstLine="0"/>
        <w:jc w:val="center"/>
        <w:rPr>
          <w:shd w:val="clear" w:color="auto" w:fill="FFFFFF"/>
        </w:rPr>
      </w:pPr>
      <w:r>
        <w:rPr>
          <w:b/>
          <w:shd w:val="clear" w:color="auto" w:fill="FFFFFF"/>
          <w:lang w:val="sr-Cyrl-RS"/>
        </w:rPr>
        <w:t xml:space="preserve">     </w:t>
      </w:r>
      <w:r w:rsidR="00896A66" w:rsidRPr="000B62B5">
        <w:rPr>
          <w:b/>
          <w:shd w:val="clear" w:color="auto" w:fill="FFFFFF"/>
          <w:lang w:val="sr-Cyrl-RS"/>
        </w:rPr>
        <w:t>Графикон</w:t>
      </w:r>
      <w:r w:rsidR="00896A66" w:rsidRPr="000B62B5">
        <w:rPr>
          <w:shd w:val="clear" w:color="auto" w:fill="FFFFFF"/>
          <w:lang w:val="sr-Cyrl-RS"/>
        </w:rPr>
        <w:t xml:space="preserve">: </w:t>
      </w:r>
      <w:r w:rsidR="00C17016" w:rsidRPr="000B62B5">
        <w:rPr>
          <w:shd w:val="clear" w:color="auto" w:fill="FFFFFF"/>
          <w:lang w:val="sr-Cyrl-RS"/>
        </w:rPr>
        <w:t xml:space="preserve">Бруто </w:t>
      </w:r>
      <w:r w:rsidR="00896A66" w:rsidRPr="000B62B5">
        <w:rPr>
          <w:shd w:val="clear" w:color="auto" w:fill="FFFFFF"/>
          <w:lang w:val="sr-Cyrl-RS"/>
        </w:rPr>
        <w:t>зараде (</w:t>
      </w:r>
      <w:r>
        <w:rPr>
          <w:shd w:val="clear" w:color="auto" w:fill="FFFFFF"/>
          <w:lang w:val="sr-Cyrl-RS"/>
        </w:rPr>
        <w:t>Истраживање о зарадама</w:t>
      </w:r>
      <w:r w:rsidR="00896A66" w:rsidRPr="000B62B5">
        <w:rPr>
          <w:shd w:val="clear" w:color="auto" w:fill="FFFFFF"/>
          <w:lang w:val="sr-Cyrl-RS"/>
        </w:rPr>
        <w:t xml:space="preserve">) и трошкови </w:t>
      </w:r>
      <w:r w:rsidR="00896A66" w:rsidRPr="000B62B5">
        <w:rPr>
          <w:shd w:val="clear" w:color="auto" w:fill="FFFFFF"/>
        </w:rPr>
        <w:t xml:space="preserve">за </w:t>
      </w:r>
      <w:r>
        <w:rPr>
          <w:shd w:val="clear" w:color="auto" w:fill="FFFFFF"/>
        </w:rPr>
        <w:t>зараде, накнаде зарада</w:t>
      </w:r>
    </w:p>
    <w:p w14:paraId="32AE2D13" w14:textId="0CCA4C3C" w:rsidR="005C7697" w:rsidRDefault="005C7697" w:rsidP="005C7697">
      <w:pPr>
        <w:pStyle w:val="Pasus"/>
        <w:ind w:left="-990" w:firstLine="0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 xml:space="preserve">                                     </w:t>
      </w:r>
      <w:r>
        <w:rPr>
          <w:shd w:val="clear" w:color="auto" w:fill="FFFFFF"/>
        </w:rPr>
        <w:t xml:space="preserve"> и остале </w:t>
      </w:r>
      <w:r w:rsidR="00896A66" w:rsidRPr="000B62B5">
        <w:rPr>
          <w:shd w:val="clear" w:color="auto" w:fill="FFFFFF"/>
        </w:rPr>
        <w:t>исплате запосленима</w:t>
      </w:r>
      <w:r w:rsidR="00C17016" w:rsidRPr="000B62B5">
        <w:rPr>
          <w:shd w:val="clear" w:color="auto" w:fill="FFFFFF"/>
          <w:lang w:val="sr-Cyrl-RS"/>
        </w:rPr>
        <w:t xml:space="preserve"> </w:t>
      </w:r>
      <w:r w:rsidR="00FB0030" w:rsidRPr="000B62B5">
        <w:rPr>
          <w:shd w:val="clear" w:color="auto" w:fill="FFFFFF"/>
          <w:lang w:val="sr-Cyrl-RS"/>
        </w:rPr>
        <w:t>(ИТР)</w:t>
      </w:r>
    </w:p>
    <w:p w14:paraId="4EC1374B" w14:textId="42841200" w:rsidR="00624F80" w:rsidRDefault="00624F80" w:rsidP="00624F80">
      <w:pPr>
        <w:pStyle w:val="Pasus"/>
        <w:ind w:left="0" w:firstLine="0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 xml:space="preserve">                    </w:t>
      </w:r>
      <w:r w:rsidR="00C17016" w:rsidRPr="000B62B5">
        <w:rPr>
          <w:shd w:val="clear" w:color="auto" w:fill="FFFFFF"/>
          <w:lang w:val="sr-Cyrl-RS"/>
        </w:rPr>
        <w:t>Просечни месечни изно</w:t>
      </w:r>
      <w:r w:rsidR="000B62B5" w:rsidRPr="000B62B5">
        <w:rPr>
          <w:shd w:val="clear" w:color="auto" w:fill="FFFFFF"/>
          <w:lang w:val="sr-Cyrl-RS"/>
        </w:rPr>
        <w:t>си у години и индекси (2016</w:t>
      </w:r>
      <w:r w:rsidR="009E3ED8" w:rsidRPr="000B62B5">
        <w:rPr>
          <w:shd w:val="clear" w:color="auto" w:fill="FFFFFF"/>
          <w:lang w:val="sr-Cyrl-RS"/>
        </w:rPr>
        <w:t xml:space="preserve"> </w:t>
      </w:r>
      <w:r w:rsidR="00FB0030" w:rsidRPr="000B62B5">
        <w:rPr>
          <w:shd w:val="clear" w:color="auto" w:fill="FFFFFF"/>
          <w:lang w:val="sr-Cyrl-RS"/>
        </w:rPr>
        <w:t>=</w:t>
      </w:r>
      <w:r w:rsidR="009E3ED8" w:rsidRPr="000B62B5">
        <w:rPr>
          <w:shd w:val="clear" w:color="auto" w:fill="FFFFFF"/>
          <w:lang w:val="sr-Cyrl-RS"/>
        </w:rPr>
        <w:t xml:space="preserve"> </w:t>
      </w:r>
      <w:r w:rsidR="00FB0030" w:rsidRPr="000B62B5">
        <w:rPr>
          <w:shd w:val="clear" w:color="auto" w:fill="FFFFFF"/>
          <w:lang w:val="sr-Cyrl-RS"/>
        </w:rPr>
        <w:t>100)</w:t>
      </w:r>
    </w:p>
    <w:p w14:paraId="654F2078" w14:textId="09E91B19" w:rsidR="00C17016" w:rsidRDefault="0039519B" w:rsidP="00624F80">
      <w:pPr>
        <w:pStyle w:val="Pasus"/>
        <w:ind w:left="0" w:firstLine="0"/>
        <w:rPr>
          <w:shd w:val="clear" w:color="auto" w:fill="FFFFFF"/>
          <w:lang w:val="sr-Cyrl-RS"/>
        </w:rPr>
      </w:pPr>
      <w:r w:rsidRPr="000B62B5">
        <w:rPr>
          <w:shd w:val="clear" w:color="auto" w:fill="FFFFFF"/>
          <w:lang w:val="sr-Cyrl-RS"/>
        </w:rPr>
        <w:t xml:space="preserve"> </w:t>
      </w:r>
    </w:p>
    <w:p w14:paraId="629747FD" w14:textId="100EC8A7" w:rsidR="00E30D77" w:rsidRPr="000E21B7" w:rsidRDefault="0050676C" w:rsidP="000161E5">
      <w:pPr>
        <w:pStyle w:val="Pasus"/>
        <w:ind w:left="-180" w:firstLine="0"/>
        <w:rPr>
          <w:color w:val="222222"/>
          <w:sz w:val="18"/>
          <w:szCs w:val="18"/>
          <w:shd w:val="clear" w:color="auto" w:fill="FFFFFF"/>
          <w:lang w:val="sr-Latn-RS"/>
        </w:rPr>
      </w:pPr>
      <w:r>
        <w:rPr>
          <w:noProof/>
          <w:lang w:val="en-US"/>
        </w:rPr>
        <w:drawing>
          <wp:inline distT="0" distB="0" distL="0" distR="0" wp14:anchorId="2234601F" wp14:editId="44B6EB3B">
            <wp:extent cx="6067425" cy="41243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14:paraId="60B1A5FA" w14:textId="77777777" w:rsidR="00E30D77" w:rsidRDefault="00E30D77" w:rsidP="0067785B">
      <w:pPr>
        <w:pStyle w:val="Pasus"/>
        <w:rPr>
          <w:color w:val="222222"/>
          <w:sz w:val="18"/>
          <w:szCs w:val="18"/>
          <w:shd w:val="clear" w:color="auto" w:fill="FFFFFF"/>
          <w:lang w:val="sr-Cyrl-RS"/>
        </w:rPr>
      </w:pPr>
    </w:p>
    <w:p w14:paraId="1A394555" w14:textId="77777777" w:rsidR="00E30D77" w:rsidRDefault="00E30D77" w:rsidP="0067785B">
      <w:pPr>
        <w:pStyle w:val="Pasus"/>
        <w:rPr>
          <w:color w:val="222222"/>
          <w:sz w:val="18"/>
          <w:szCs w:val="18"/>
          <w:shd w:val="clear" w:color="auto" w:fill="FFFFFF"/>
          <w:lang w:val="sr-Cyrl-RS"/>
        </w:rPr>
      </w:pPr>
    </w:p>
    <w:p w14:paraId="22259BBB" w14:textId="77777777" w:rsidR="00E30D77" w:rsidRDefault="00E30D77" w:rsidP="0067785B">
      <w:pPr>
        <w:pStyle w:val="Pasus"/>
        <w:rPr>
          <w:color w:val="222222"/>
          <w:sz w:val="18"/>
          <w:szCs w:val="18"/>
          <w:shd w:val="clear" w:color="auto" w:fill="FFFFFF"/>
          <w:lang w:val="sr-Cyrl-RS"/>
        </w:rPr>
      </w:pPr>
    </w:p>
    <w:p w14:paraId="17D42436" w14:textId="77777777" w:rsidR="00E30D77" w:rsidRDefault="00E30D77" w:rsidP="0067785B">
      <w:pPr>
        <w:pStyle w:val="Pasus"/>
        <w:rPr>
          <w:color w:val="222222"/>
          <w:sz w:val="18"/>
          <w:szCs w:val="18"/>
          <w:shd w:val="clear" w:color="auto" w:fill="FFFFFF"/>
          <w:lang w:val="sr-Cyrl-RS"/>
        </w:rPr>
      </w:pPr>
    </w:p>
    <w:p w14:paraId="407DE5D6" w14:textId="53767679" w:rsidR="0067785B" w:rsidRPr="007009F2" w:rsidRDefault="0067785B" w:rsidP="006D20B3">
      <w:pPr>
        <w:pStyle w:val="Pasus"/>
        <w:rPr>
          <w:color w:val="222222"/>
          <w:shd w:val="clear" w:color="auto" w:fill="FFFFFF"/>
          <w:lang w:val="sr-Cyrl-RS"/>
        </w:rPr>
      </w:pPr>
      <w:r w:rsidRPr="007009F2">
        <w:rPr>
          <w:color w:val="222222"/>
          <w:shd w:val="clear" w:color="auto" w:fill="FFFFFF"/>
          <w:lang w:val="sr-Cyrl-RS"/>
        </w:rPr>
        <w:t>На укупном нивоу, просечни месечни т</w:t>
      </w:r>
      <w:r w:rsidRPr="007009F2">
        <w:rPr>
          <w:color w:val="222222"/>
          <w:shd w:val="clear" w:color="auto" w:fill="FFFFFF"/>
        </w:rPr>
        <w:t>рошкови за зараде, накнаде зарада и остале исплате запосленима</w:t>
      </w:r>
      <w:r w:rsidRPr="007009F2">
        <w:rPr>
          <w:color w:val="222222"/>
          <w:shd w:val="clear" w:color="auto" w:fill="FFFFFF"/>
          <w:lang w:val="sr-Cyrl-RS"/>
        </w:rPr>
        <w:t xml:space="preserve"> (</w:t>
      </w:r>
      <w:r w:rsidRPr="007009F2">
        <w:rPr>
          <w:color w:val="222222"/>
          <w:shd w:val="clear" w:color="auto" w:fill="FFFFFF"/>
        </w:rPr>
        <w:t>D11</w:t>
      </w:r>
      <w:r w:rsidR="00BB291E">
        <w:rPr>
          <w:color w:val="222222"/>
          <w:shd w:val="clear" w:color="auto" w:fill="FFFFFF"/>
          <w:lang w:val="sr-Cyrl-RS"/>
        </w:rPr>
        <w:t>) у 20</w:t>
      </w:r>
      <w:r w:rsidR="009E1296">
        <w:rPr>
          <w:color w:val="222222"/>
          <w:shd w:val="clear" w:color="auto" w:fill="FFFFFF"/>
          <w:lang w:val="sr-Cyrl-RS"/>
        </w:rPr>
        <w:t>20</w:t>
      </w:r>
      <w:r w:rsidR="00BB291E">
        <w:rPr>
          <w:color w:val="222222"/>
          <w:shd w:val="clear" w:color="auto" w:fill="FFFFFF"/>
          <w:lang w:val="sr-Cyrl-RS"/>
        </w:rPr>
        <w:t xml:space="preserve">. години су били већи за </w:t>
      </w:r>
      <w:r w:rsidR="009E1296">
        <w:rPr>
          <w:color w:val="222222"/>
          <w:shd w:val="clear" w:color="auto" w:fill="FFFFFF"/>
          <w:lang w:val="sr-Cyrl-RS"/>
        </w:rPr>
        <w:t>1</w:t>
      </w:r>
      <w:r w:rsidR="009B29E9">
        <w:rPr>
          <w:color w:val="222222"/>
          <w:shd w:val="clear" w:color="auto" w:fill="FFFFFF"/>
          <w:lang w:val="sr-Cyrl-RS"/>
        </w:rPr>
        <w:t>4</w:t>
      </w:r>
      <w:r w:rsidR="009E1296">
        <w:rPr>
          <w:color w:val="222222"/>
          <w:shd w:val="clear" w:color="auto" w:fill="FFFFFF"/>
          <w:lang w:val="sr-Cyrl-RS"/>
        </w:rPr>
        <w:t>,6</w:t>
      </w:r>
      <w:r w:rsidRPr="007009F2">
        <w:rPr>
          <w:color w:val="222222"/>
          <w:shd w:val="clear" w:color="auto" w:fill="FFFFFF"/>
          <w:lang w:val="sr-Cyrl-RS"/>
        </w:rPr>
        <w:t xml:space="preserve">% од просечних месечних (бруто) зарада </w:t>
      </w:r>
      <w:r w:rsidR="009E1296">
        <w:rPr>
          <w:color w:val="222222"/>
          <w:shd w:val="clear" w:color="auto" w:fill="FFFFFF"/>
          <w:lang w:val="sr-Cyrl-RS"/>
        </w:rPr>
        <w:t>обрачунатих за годину</w:t>
      </w:r>
      <w:r w:rsidRPr="007009F2">
        <w:rPr>
          <w:color w:val="222222"/>
          <w:shd w:val="clear" w:color="auto" w:fill="FFFFFF"/>
          <w:lang w:val="sr-Cyrl-RS"/>
        </w:rPr>
        <w:t>. Разлог за то је превасходно чињеница да просечни месечни т</w:t>
      </w:r>
      <w:r w:rsidRPr="007009F2">
        <w:rPr>
          <w:color w:val="222222"/>
          <w:shd w:val="clear" w:color="auto" w:fill="FFFFFF"/>
        </w:rPr>
        <w:t>рошкови за зараде, накнаде зарада и остале исплате запосленима</w:t>
      </w:r>
      <w:r w:rsidRPr="007009F2">
        <w:rPr>
          <w:color w:val="222222"/>
          <w:shd w:val="clear" w:color="auto" w:fill="FFFFFF"/>
          <w:lang w:val="sr-Cyrl-RS"/>
        </w:rPr>
        <w:t xml:space="preserve"> (</w:t>
      </w:r>
      <w:r w:rsidRPr="007009F2">
        <w:rPr>
          <w:color w:val="222222"/>
          <w:shd w:val="clear" w:color="auto" w:fill="FFFFFF"/>
        </w:rPr>
        <w:t>D11</w:t>
      </w:r>
      <w:r w:rsidR="00BB291E">
        <w:rPr>
          <w:color w:val="222222"/>
          <w:shd w:val="clear" w:color="auto" w:fill="FFFFFF"/>
          <w:lang w:val="sr-Cyrl-RS"/>
        </w:rPr>
        <w:t xml:space="preserve">) </w:t>
      </w:r>
      <w:r w:rsidRPr="007009F2">
        <w:rPr>
          <w:color w:val="222222"/>
          <w:shd w:val="clear" w:color="auto" w:fill="FFFFFF"/>
          <w:lang w:val="sr-Cyrl-RS"/>
        </w:rPr>
        <w:t>имају ширу дефиницију</w:t>
      </w:r>
      <w:r w:rsidR="008152AF" w:rsidRPr="007009F2">
        <w:rPr>
          <w:color w:val="222222"/>
          <w:shd w:val="clear" w:color="auto" w:fill="FFFFFF"/>
          <w:lang w:val="sr-Cyrl-RS"/>
        </w:rPr>
        <w:t>, односно обухватају исп</w:t>
      </w:r>
      <w:r w:rsidRPr="007009F2">
        <w:rPr>
          <w:color w:val="222222"/>
          <w:shd w:val="clear" w:color="auto" w:fill="FFFFFF"/>
          <w:lang w:val="sr-Cyrl-RS"/>
        </w:rPr>
        <w:t>л</w:t>
      </w:r>
      <w:r w:rsidR="008152AF" w:rsidRPr="007009F2">
        <w:rPr>
          <w:color w:val="222222"/>
          <w:shd w:val="clear" w:color="auto" w:fill="FFFFFF"/>
          <w:lang w:val="sr-Cyrl-RS"/>
        </w:rPr>
        <w:t>а</w:t>
      </w:r>
      <w:r w:rsidRPr="007009F2">
        <w:rPr>
          <w:color w:val="222222"/>
          <w:shd w:val="clear" w:color="auto" w:fill="FFFFFF"/>
          <w:lang w:val="sr-Cyrl-RS"/>
        </w:rPr>
        <w:t xml:space="preserve">те запосленима које се по </w:t>
      </w:r>
      <w:r w:rsidRPr="007009F2">
        <w:rPr>
          <w:color w:val="222222"/>
          <w:shd w:val="clear" w:color="auto" w:fill="FFFFFF"/>
        </w:rPr>
        <w:t>члану</w:t>
      </w:r>
      <w:r w:rsidR="0039519B" w:rsidRPr="007009F2">
        <w:rPr>
          <w:color w:val="222222"/>
          <w:shd w:val="clear" w:color="auto" w:fill="FFFFFF"/>
        </w:rPr>
        <w:t xml:space="preserve"> 105</w:t>
      </w:r>
      <w:r w:rsidR="00190C65">
        <w:rPr>
          <w:color w:val="222222"/>
          <w:shd w:val="clear" w:color="auto" w:fill="FFFFFF"/>
          <w:lang w:val="sr-Cyrl-RS"/>
        </w:rPr>
        <w:t>.</w:t>
      </w:r>
      <w:r w:rsidR="0039519B" w:rsidRPr="007009F2">
        <w:rPr>
          <w:color w:val="222222"/>
          <w:shd w:val="clear" w:color="auto" w:fill="FFFFFF"/>
        </w:rPr>
        <w:t xml:space="preserve"> Закона о раду</w:t>
      </w:r>
      <w:r w:rsidR="0039519B" w:rsidRPr="007009F2">
        <w:rPr>
          <w:color w:val="222222"/>
          <w:shd w:val="clear" w:color="auto" w:fill="FFFFFF"/>
          <w:lang w:val="sr-Cyrl-RS"/>
        </w:rPr>
        <w:t xml:space="preserve"> не сматрају зарадом, иако се не могу занемарити и ост</w:t>
      </w:r>
      <w:r w:rsidR="004C0F1A" w:rsidRPr="007009F2">
        <w:rPr>
          <w:color w:val="222222"/>
          <w:shd w:val="clear" w:color="auto" w:fill="FFFFFF"/>
          <w:lang w:val="sr-Cyrl-RS"/>
        </w:rPr>
        <w:t>а</w:t>
      </w:r>
      <w:r w:rsidR="0039519B" w:rsidRPr="007009F2">
        <w:rPr>
          <w:color w:val="222222"/>
          <w:shd w:val="clear" w:color="auto" w:fill="FFFFFF"/>
          <w:lang w:val="sr-Cyrl-RS"/>
        </w:rPr>
        <w:t>л</w:t>
      </w:r>
      <w:r w:rsidR="00847F01" w:rsidRPr="007009F2">
        <w:rPr>
          <w:color w:val="222222"/>
          <w:shd w:val="clear" w:color="auto" w:fill="FFFFFF"/>
          <w:lang w:val="sr-Cyrl-RS"/>
        </w:rPr>
        <w:t>е методолошке разлике изм</w:t>
      </w:r>
      <w:r w:rsidR="004C0F1A" w:rsidRPr="007009F2">
        <w:rPr>
          <w:color w:val="222222"/>
          <w:shd w:val="clear" w:color="auto" w:fill="FFFFFF"/>
          <w:lang w:val="sr-Cyrl-RS"/>
        </w:rPr>
        <w:t>еђу ов</w:t>
      </w:r>
      <w:r w:rsidR="0039519B" w:rsidRPr="007009F2">
        <w:rPr>
          <w:color w:val="222222"/>
          <w:shd w:val="clear" w:color="auto" w:fill="FFFFFF"/>
          <w:lang w:val="sr-Cyrl-RS"/>
        </w:rPr>
        <w:t>а</w:t>
      </w:r>
      <w:r w:rsidR="004C0F1A" w:rsidRPr="007009F2">
        <w:rPr>
          <w:color w:val="222222"/>
          <w:shd w:val="clear" w:color="auto" w:fill="FFFFFF"/>
          <w:lang w:val="sr-Cyrl-RS"/>
        </w:rPr>
        <w:t xml:space="preserve"> </w:t>
      </w:r>
      <w:r w:rsidR="0039519B" w:rsidRPr="007009F2">
        <w:rPr>
          <w:color w:val="222222"/>
          <w:shd w:val="clear" w:color="auto" w:fill="FFFFFF"/>
          <w:lang w:val="sr-Cyrl-RS"/>
        </w:rPr>
        <w:t>два истраживања.</w:t>
      </w:r>
      <w:r w:rsidR="00DC6EED" w:rsidRPr="007009F2">
        <w:rPr>
          <w:color w:val="222222"/>
          <w:shd w:val="clear" w:color="auto" w:fill="FFFFFF"/>
          <w:lang w:val="sr-Cyrl-RS"/>
        </w:rPr>
        <w:t xml:space="preserve"> </w:t>
      </w:r>
      <w:r w:rsidR="004C0F1A" w:rsidRPr="007009F2">
        <w:rPr>
          <w:color w:val="222222"/>
          <w:shd w:val="clear" w:color="auto" w:fill="FFFFFF"/>
          <w:lang w:val="sr-Cyrl-RS"/>
        </w:rPr>
        <w:t>У оба истраживања рангирање сектора делатности према висини зараде (</w:t>
      </w:r>
      <w:r w:rsidR="009E1296">
        <w:rPr>
          <w:color w:val="222222"/>
          <w:shd w:val="clear" w:color="auto" w:fill="FFFFFF"/>
          <w:lang w:val="sr-Cyrl-RS"/>
        </w:rPr>
        <w:t>Истраживање о зарадама</w:t>
      </w:r>
      <w:r w:rsidR="004C0F1A" w:rsidRPr="007009F2">
        <w:rPr>
          <w:color w:val="222222"/>
          <w:shd w:val="clear" w:color="auto" w:fill="FFFFFF"/>
          <w:lang w:val="sr-Cyrl-RS"/>
        </w:rPr>
        <w:t>) и трошкова за зараде, накнаде зарада и осталих исплата запосленима (ИТР)</w:t>
      </w:r>
      <w:r w:rsidR="00B8113D" w:rsidRPr="007009F2">
        <w:rPr>
          <w:color w:val="222222"/>
          <w:shd w:val="clear" w:color="auto" w:fill="FFFFFF"/>
          <w:lang w:val="sr-Cyrl-RS"/>
        </w:rPr>
        <w:t xml:space="preserve"> </w:t>
      </w:r>
      <w:r w:rsidR="009E1296">
        <w:rPr>
          <w:color w:val="222222"/>
          <w:shd w:val="clear" w:color="auto" w:fill="FFFFFF"/>
          <w:lang w:val="sr-Cyrl-RS"/>
        </w:rPr>
        <w:t>за</w:t>
      </w:r>
      <w:r w:rsidR="00B8113D" w:rsidRPr="007009F2">
        <w:rPr>
          <w:color w:val="222222"/>
          <w:shd w:val="clear" w:color="auto" w:fill="FFFFFF"/>
          <w:lang w:val="sr-Cyrl-RS"/>
        </w:rPr>
        <w:t xml:space="preserve"> 20</w:t>
      </w:r>
      <w:r w:rsidR="009E1296">
        <w:rPr>
          <w:color w:val="222222"/>
          <w:shd w:val="clear" w:color="auto" w:fill="FFFFFF"/>
          <w:lang w:val="sr-Cyrl-RS"/>
        </w:rPr>
        <w:t>20</w:t>
      </w:r>
      <w:r w:rsidR="00B8113D" w:rsidRPr="007009F2">
        <w:rPr>
          <w:color w:val="222222"/>
          <w:shd w:val="clear" w:color="auto" w:fill="FFFFFF"/>
          <w:lang w:val="sr-Cyrl-RS"/>
        </w:rPr>
        <w:t xml:space="preserve">. години </w:t>
      </w:r>
      <w:r w:rsidR="004C0F1A" w:rsidRPr="007009F2">
        <w:rPr>
          <w:color w:val="222222"/>
          <w:shd w:val="clear" w:color="auto" w:fill="FFFFFF"/>
          <w:lang w:val="sr-Cyrl-RS"/>
        </w:rPr>
        <w:t xml:space="preserve"> даје приближно исту слику. И према једном и према другом истраживању, зараде односно </w:t>
      </w:r>
      <w:r w:rsidR="00B8113D" w:rsidRPr="007009F2">
        <w:rPr>
          <w:color w:val="222222"/>
          <w:shd w:val="clear" w:color="auto" w:fill="FFFFFF"/>
          <w:lang w:val="sr-Cyrl-RS"/>
        </w:rPr>
        <w:t>трошкови за зараде су највиши у</w:t>
      </w:r>
      <w:r w:rsidR="004C0F1A" w:rsidRPr="007009F2">
        <w:rPr>
          <w:color w:val="222222"/>
          <w:shd w:val="clear" w:color="auto" w:fill="FFFFFF"/>
          <w:lang w:val="sr-Cyrl-RS"/>
        </w:rPr>
        <w:t xml:space="preserve"> </w:t>
      </w:r>
      <w:r w:rsidR="00FC6060" w:rsidRPr="007009F2">
        <w:rPr>
          <w:color w:val="222222"/>
          <w:shd w:val="clear" w:color="auto" w:fill="FFFFFF"/>
          <w:lang w:val="sr-Cyrl-RS"/>
        </w:rPr>
        <w:t xml:space="preserve">следећих </w:t>
      </w:r>
      <w:r w:rsidR="004C0F1A" w:rsidRPr="007009F2">
        <w:rPr>
          <w:color w:val="222222"/>
          <w:shd w:val="clear" w:color="auto" w:fill="FFFFFF"/>
          <w:lang w:val="sr-Cyrl-RS"/>
        </w:rPr>
        <w:t>пет сек</w:t>
      </w:r>
      <w:r w:rsidR="007D2681" w:rsidRPr="007009F2">
        <w:rPr>
          <w:color w:val="222222"/>
          <w:shd w:val="clear" w:color="auto" w:fill="FFFFFF"/>
          <w:lang w:val="sr-Cyrl-RS"/>
        </w:rPr>
        <w:t>тора</w:t>
      </w:r>
      <w:r w:rsidR="004C0F1A" w:rsidRPr="007009F2">
        <w:rPr>
          <w:color w:val="222222"/>
          <w:shd w:val="clear" w:color="auto" w:fill="FFFFFF"/>
          <w:lang w:val="sr-Cyrl-RS"/>
        </w:rPr>
        <w:t xml:space="preserve"> делатности</w:t>
      </w:r>
      <w:r w:rsidR="00B8113D" w:rsidRPr="007009F2">
        <w:rPr>
          <w:color w:val="222222"/>
          <w:shd w:val="clear" w:color="auto" w:fill="FFFFFF"/>
          <w:lang w:val="sr-Cyrl-RS"/>
        </w:rPr>
        <w:t>:</w:t>
      </w:r>
      <w:r w:rsidR="004C0F1A" w:rsidRPr="007009F2">
        <w:rPr>
          <w:color w:val="222222"/>
          <w:shd w:val="clear" w:color="auto" w:fill="FFFFFF"/>
          <w:lang w:val="sr-Cyrl-RS"/>
        </w:rPr>
        <w:t xml:space="preserve"> Финансијске делатности и делатност осигурања, Стручне, научне и техничке делатности, Информисање и комуникације,</w:t>
      </w:r>
      <w:r w:rsidR="004C0F1A" w:rsidRPr="007009F2">
        <w:t xml:space="preserve"> </w:t>
      </w:r>
      <w:r w:rsidR="004C0F1A" w:rsidRPr="007009F2">
        <w:rPr>
          <w:color w:val="222222"/>
          <w:shd w:val="clear" w:color="auto" w:fill="FFFFFF"/>
          <w:lang w:val="sr-Cyrl-RS"/>
        </w:rPr>
        <w:t>Рударство, Снабдевање електричном енергијом, гасом, паром и климатизација, са мањим одступањима од редоследа.</w:t>
      </w:r>
      <w:r w:rsidR="00B8113D" w:rsidRPr="007009F2">
        <w:rPr>
          <w:color w:val="222222"/>
          <w:shd w:val="clear" w:color="auto" w:fill="FFFFFF"/>
          <w:lang w:val="sr-Cyrl-RS"/>
        </w:rPr>
        <w:t xml:space="preserve"> С друге стране, сектор делатности Услуге смештаја и исхране је на самом зачељу када су у питању оба истраживања.</w:t>
      </w:r>
    </w:p>
    <w:p w14:paraId="38E721C1" w14:textId="7CF74357" w:rsidR="008D6F89" w:rsidRPr="005F7812" w:rsidRDefault="006D20B3" w:rsidP="006D20B3">
      <w:pPr>
        <w:pStyle w:val="Pasus"/>
        <w:rPr>
          <w:color w:val="222222"/>
          <w:shd w:val="clear" w:color="auto" w:fill="FFFFFF"/>
          <w:lang w:val="sr-Cyrl-RS"/>
        </w:rPr>
      </w:pPr>
      <w:r w:rsidRPr="005F7812">
        <w:rPr>
          <w:color w:val="222222"/>
          <w:shd w:val="clear" w:color="auto" w:fill="FFFFFF"/>
          <w:lang w:val="sr-Cyrl-RS"/>
        </w:rPr>
        <w:t>Према ИТР, просечни месечни т</w:t>
      </w:r>
      <w:r w:rsidRPr="005F7812">
        <w:rPr>
          <w:color w:val="222222"/>
          <w:shd w:val="clear" w:color="auto" w:fill="FFFFFF"/>
        </w:rPr>
        <w:t>рошкови за зараде, накнаде зарада и остале исплате запосленима</w:t>
      </w:r>
      <w:r w:rsidRPr="005F7812">
        <w:rPr>
          <w:color w:val="222222"/>
          <w:shd w:val="clear" w:color="auto" w:fill="FFFFFF"/>
          <w:lang w:val="sr-Cyrl-RS"/>
        </w:rPr>
        <w:t xml:space="preserve"> (</w:t>
      </w:r>
      <w:r w:rsidRPr="005F7812">
        <w:rPr>
          <w:color w:val="222222"/>
          <w:shd w:val="clear" w:color="auto" w:fill="FFFFFF"/>
        </w:rPr>
        <w:t>D11</w:t>
      </w:r>
      <w:r w:rsidRPr="005F7812">
        <w:rPr>
          <w:color w:val="222222"/>
          <w:shd w:val="clear" w:color="auto" w:fill="FFFFFF"/>
          <w:lang w:val="sr-Cyrl-RS"/>
        </w:rPr>
        <w:t>) повећани су у 20</w:t>
      </w:r>
      <w:r w:rsidR="000F3A91" w:rsidRPr="005F7812">
        <w:rPr>
          <w:color w:val="222222"/>
          <w:shd w:val="clear" w:color="auto" w:fill="FFFFFF"/>
          <w:lang w:val="en-US"/>
        </w:rPr>
        <w:t>20</w:t>
      </w:r>
      <w:r w:rsidRPr="005F7812">
        <w:rPr>
          <w:color w:val="222222"/>
          <w:shd w:val="clear" w:color="auto" w:fill="FFFFFF"/>
          <w:lang w:val="sr-Cyrl-RS"/>
        </w:rPr>
        <w:t>.</w:t>
      </w:r>
      <w:r w:rsidR="009272EB" w:rsidRPr="005F7812">
        <w:rPr>
          <w:color w:val="222222"/>
          <w:shd w:val="clear" w:color="auto" w:fill="FFFFFF"/>
          <w:lang w:val="sr-Cyrl-RS"/>
        </w:rPr>
        <w:t xml:space="preserve"> </w:t>
      </w:r>
      <w:r w:rsidR="000A01F4" w:rsidRPr="005F7812">
        <w:rPr>
          <w:color w:val="222222"/>
          <w:shd w:val="clear" w:color="auto" w:fill="FFFFFF"/>
          <w:lang w:val="sr-Cyrl-RS"/>
        </w:rPr>
        <w:t>г</w:t>
      </w:r>
      <w:r w:rsidR="008D6F89" w:rsidRPr="005F7812">
        <w:rPr>
          <w:color w:val="222222"/>
          <w:shd w:val="clear" w:color="auto" w:fill="FFFFFF"/>
          <w:lang w:val="sr-Cyrl-RS"/>
        </w:rPr>
        <w:t>одини</w:t>
      </w:r>
      <w:r w:rsidR="000A01F4" w:rsidRPr="005F7812">
        <w:rPr>
          <w:color w:val="222222"/>
          <w:shd w:val="clear" w:color="auto" w:fill="FFFFFF"/>
          <w:lang w:val="sr-Cyrl-RS"/>
        </w:rPr>
        <w:t>, у односу на 20</w:t>
      </w:r>
      <w:r w:rsidR="000F3A91" w:rsidRPr="005F7812">
        <w:rPr>
          <w:color w:val="222222"/>
          <w:shd w:val="clear" w:color="auto" w:fill="FFFFFF"/>
          <w:lang w:val="en-US"/>
        </w:rPr>
        <w:t>16</w:t>
      </w:r>
      <w:r w:rsidR="000A01F4" w:rsidRPr="005F7812">
        <w:rPr>
          <w:color w:val="222222"/>
          <w:shd w:val="clear" w:color="auto" w:fill="FFFFFF"/>
          <w:lang w:val="sr-Cyrl-RS"/>
        </w:rPr>
        <w:t>,</w:t>
      </w:r>
      <w:r w:rsidR="009272EB" w:rsidRPr="005F7812">
        <w:rPr>
          <w:color w:val="222222"/>
          <w:shd w:val="clear" w:color="auto" w:fill="FFFFFF"/>
          <w:lang w:val="sr-Cyrl-RS"/>
        </w:rPr>
        <w:t xml:space="preserve"> за </w:t>
      </w:r>
      <w:r w:rsidR="000F3A91" w:rsidRPr="005F7812">
        <w:rPr>
          <w:color w:val="222222"/>
          <w:shd w:val="clear" w:color="auto" w:fill="FFFFFF"/>
          <w:lang w:val="en-US"/>
        </w:rPr>
        <w:t>34,1</w:t>
      </w:r>
      <w:r w:rsidRPr="005F7812">
        <w:rPr>
          <w:color w:val="222222"/>
          <w:shd w:val="clear" w:color="auto" w:fill="FFFFFF"/>
          <w:lang w:val="sr-Cyrl-RS"/>
        </w:rPr>
        <w:t>%</w:t>
      </w:r>
      <w:r w:rsidR="009272EB" w:rsidRPr="005F7812">
        <w:rPr>
          <w:color w:val="222222"/>
          <w:shd w:val="clear" w:color="auto" w:fill="FFFFFF"/>
          <w:lang w:val="sr-Cyrl-RS"/>
        </w:rPr>
        <w:t>,</w:t>
      </w:r>
      <w:r w:rsidRPr="005F7812">
        <w:rPr>
          <w:color w:val="222222"/>
          <w:shd w:val="clear" w:color="auto" w:fill="FFFFFF"/>
          <w:lang w:val="sr-Cyrl-RS"/>
        </w:rPr>
        <w:t xml:space="preserve"> </w:t>
      </w:r>
      <w:r w:rsidR="009272EB" w:rsidRPr="005F7812">
        <w:rPr>
          <w:color w:val="222222"/>
          <w:shd w:val="clear" w:color="auto" w:fill="FFFFFF"/>
          <w:lang w:val="sr-Cyrl-RS"/>
        </w:rPr>
        <w:t>д</w:t>
      </w:r>
      <w:r w:rsidR="008D6F89" w:rsidRPr="005F7812">
        <w:rPr>
          <w:color w:val="222222"/>
          <w:shd w:val="clear" w:color="auto" w:fill="FFFFFF"/>
          <w:lang w:val="sr-Cyrl-RS"/>
        </w:rPr>
        <w:t>ок су</w:t>
      </w:r>
      <w:r w:rsidR="000A01F4" w:rsidRPr="005F7812">
        <w:rPr>
          <w:color w:val="222222"/>
          <w:shd w:val="clear" w:color="auto" w:fill="FFFFFF"/>
          <w:lang w:val="sr-Cyrl-RS"/>
        </w:rPr>
        <w:t>,</w:t>
      </w:r>
      <w:r w:rsidR="008D6F89" w:rsidRPr="005F7812">
        <w:rPr>
          <w:color w:val="222222"/>
          <w:shd w:val="clear" w:color="auto" w:fill="FFFFFF"/>
          <w:lang w:val="sr-Cyrl-RS"/>
        </w:rPr>
        <w:t xml:space="preserve"> п</w:t>
      </w:r>
      <w:r w:rsidRPr="005F7812">
        <w:rPr>
          <w:color w:val="222222"/>
          <w:shd w:val="clear" w:color="auto" w:fill="FFFFFF"/>
          <w:lang w:val="sr-Cyrl-RS"/>
        </w:rPr>
        <w:t xml:space="preserve">рема </w:t>
      </w:r>
      <w:r w:rsidR="000F3A91" w:rsidRPr="005F7812">
        <w:rPr>
          <w:color w:val="222222"/>
          <w:shd w:val="clear" w:color="auto" w:fill="FFFFFF"/>
          <w:lang w:val="sr-Cyrl-RS"/>
        </w:rPr>
        <w:t>И</w:t>
      </w:r>
      <w:r w:rsidR="00BB291E" w:rsidRPr="005F7812">
        <w:rPr>
          <w:color w:val="222222"/>
          <w:shd w:val="clear" w:color="auto" w:fill="FFFFFF"/>
          <w:lang w:val="sr-Cyrl-RS"/>
        </w:rPr>
        <w:t xml:space="preserve">страживању </w:t>
      </w:r>
      <w:r w:rsidR="000F3A91" w:rsidRPr="005F7812">
        <w:rPr>
          <w:color w:val="222222"/>
          <w:shd w:val="clear" w:color="auto" w:fill="FFFFFF"/>
          <w:lang w:val="sr-Cyrl-RS"/>
        </w:rPr>
        <w:t>о зарадама</w:t>
      </w:r>
      <w:r w:rsidRPr="005F7812">
        <w:rPr>
          <w:color w:val="222222"/>
          <w:shd w:val="clear" w:color="auto" w:fill="FFFFFF"/>
          <w:lang w:val="sr-Cyrl-RS"/>
        </w:rPr>
        <w:t xml:space="preserve"> просечне м</w:t>
      </w:r>
      <w:r w:rsidR="00F22E22" w:rsidRPr="005F7812">
        <w:rPr>
          <w:color w:val="222222"/>
          <w:shd w:val="clear" w:color="auto" w:fill="FFFFFF"/>
          <w:lang w:val="sr-Cyrl-RS"/>
        </w:rPr>
        <w:t xml:space="preserve">есечне (бруто) зараде </w:t>
      </w:r>
      <w:r w:rsidRPr="005F7812">
        <w:rPr>
          <w:color w:val="222222"/>
          <w:shd w:val="clear" w:color="auto" w:fill="FFFFFF"/>
          <w:lang w:val="sr-Cyrl-RS"/>
        </w:rPr>
        <w:t xml:space="preserve">повећане </w:t>
      </w:r>
      <w:r w:rsidR="008D6F89" w:rsidRPr="005F7812">
        <w:rPr>
          <w:color w:val="222222"/>
          <w:shd w:val="clear" w:color="auto" w:fill="FFFFFF"/>
          <w:lang w:val="sr-Cyrl-RS"/>
        </w:rPr>
        <w:t xml:space="preserve">за </w:t>
      </w:r>
      <w:r w:rsidR="000F3A91" w:rsidRPr="005F7812">
        <w:rPr>
          <w:color w:val="222222"/>
          <w:shd w:val="clear" w:color="auto" w:fill="FFFFFF"/>
          <w:lang w:val="sr-Cyrl-RS"/>
        </w:rPr>
        <w:t>33,3</w:t>
      </w:r>
      <w:r w:rsidR="008D6F89" w:rsidRPr="005F7812">
        <w:rPr>
          <w:color w:val="222222"/>
          <w:shd w:val="clear" w:color="auto" w:fill="FFFFFF"/>
          <w:lang w:val="sr-Cyrl-RS"/>
        </w:rPr>
        <w:t>%. Уколико се имају у виду горе наведене разлике у дефиницији варијабли које се пореде, као и разлике у методологији узорка и обухвату, може се закључити да постоји в</w:t>
      </w:r>
      <w:r w:rsidR="00BB291E" w:rsidRPr="005F7812">
        <w:rPr>
          <w:color w:val="222222"/>
          <w:shd w:val="clear" w:color="auto" w:fill="FFFFFF"/>
          <w:lang w:val="sr-Cyrl-RS"/>
        </w:rPr>
        <w:t>исок степен кохерентности између</w:t>
      </w:r>
      <w:r w:rsidR="008D6F89" w:rsidRPr="005F7812">
        <w:rPr>
          <w:color w:val="222222"/>
          <w:shd w:val="clear" w:color="auto" w:fill="FFFFFF"/>
          <w:lang w:val="sr-Cyrl-RS"/>
        </w:rPr>
        <w:t xml:space="preserve"> </w:t>
      </w:r>
      <w:r w:rsidR="000F3A91" w:rsidRPr="005F7812">
        <w:rPr>
          <w:color w:val="222222"/>
          <w:shd w:val="clear" w:color="auto" w:fill="FFFFFF"/>
          <w:lang w:val="sr-Cyrl-RS"/>
        </w:rPr>
        <w:t>И</w:t>
      </w:r>
      <w:r w:rsidR="00BB291E" w:rsidRPr="005F7812">
        <w:rPr>
          <w:color w:val="222222"/>
          <w:shd w:val="clear" w:color="auto" w:fill="FFFFFF"/>
          <w:lang w:val="sr-Cyrl-RS"/>
        </w:rPr>
        <w:t xml:space="preserve">страживања </w:t>
      </w:r>
      <w:r w:rsidR="000F3A91" w:rsidRPr="005F7812">
        <w:rPr>
          <w:color w:val="222222"/>
          <w:shd w:val="clear" w:color="auto" w:fill="FFFFFF"/>
          <w:lang w:val="sr-Cyrl-RS"/>
        </w:rPr>
        <w:t>о зарадама</w:t>
      </w:r>
      <w:r w:rsidR="008D6F89" w:rsidRPr="005F7812">
        <w:rPr>
          <w:color w:val="222222"/>
          <w:shd w:val="clear" w:color="auto" w:fill="FFFFFF"/>
          <w:lang w:val="sr-Cyrl-RS"/>
        </w:rPr>
        <w:t xml:space="preserve"> и ИТР. </w:t>
      </w:r>
    </w:p>
    <w:p w14:paraId="1606A8E1" w14:textId="06232F44" w:rsidR="00C87074" w:rsidRPr="00E06A18" w:rsidRDefault="006E62D3" w:rsidP="00C87074">
      <w:pPr>
        <w:pStyle w:val="Pasus"/>
        <w:rPr>
          <w:color w:val="222222"/>
          <w:shd w:val="clear" w:color="auto" w:fill="FFFFFF"/>
          <w:lang w:val="sr-Cyrl-RS"/>
        </w:rPr>
      </w:pPr>
      <w:r w:rsidRPr="00E06A18">
        <w:rPr>
          <w:color w:val="222222"/>
          <w:shd w:val="clear" w:color="auto" w:fill="FFFFFF"/>
          <w:lang w:val="sr-Cyrl-RS"/>
        </w:rPr>
        <w:lastRenderedPageBreak/>
        <w:t xml:space="preserve">На основу података </w:t>
      </w:r>
      <w:r w:rsidR="00C87074" w:rsidRPr="00E06A18">
        <w:rPr>
          <w:color w:val="222222"/>
          <w:shd w:val="clear" w:color="auto" w:fill="FFFFFF"/>
          <w:lang w:val="sr-Cyrl-RS"/>
        </w:rPr>
        <w:t>оба истраживања</w:t>
      </w:r>
      <w:r w:rsidRPr="00E06A18">
        <w:rPr>
          <w:color w:val="222222"/>
          <w:shd w:val="clear" w:color="auto" w:fill="FFFFFF"/>
          <w:lang w:val="sr-Cyrl-RS"/>
        </w:rPr>
        <w:t>,</w:t>
      </w:r>
      <w:r w:rsidR="00C87074" w:rsidRPr="00E06A18">
        <w:rPr>
          <w:color w:val="222222"/>
          <w:shd w:val="clear" w:color="auto" w:fill="FFFFFF"/>
          <w:lang w:val="sr-Cyrl-RS"/>
        </w:rPr>
        <w:t xml:space="preserve"> највећи раст зарада </w:t>
      </w:r>
      <w:r w:rsidR="000F3A91" w:rsidRPr="00E06A18">
        <w:rPr>
          <w:color w:val="222222"/>
          <w:shd w:val="clear" w:color="auto" w:fill="FFFFFF"/>
          <w:lang w:val="sr-Cyrl-RS"/>
        </w:rPr>
        <w:t xml:space="preserve">добијених из </w:t>
      </w:r>
      <w:r w:rsidR="00190C65" w:rsidRPr="00E06A18">
        <w:rPr>
          <w:color w:val="222222"/>
          <w:shd w:val="clear" w:color="auto" w:fill="FFFFFF"/>
          <w:lang w:val="sr-Cyrl-RS"/>
        </w:rPr>
        <w:t>Истраживањем о зарадама</w:t>
      </w:r>
      <w:r w:rsidR="00C87074" w:rsidRPr="00E06A18">
        <w:rPr>
          <w:color w:val="222222"/>
          <w:shd w:val="clear" w:color="auto" w:fill="FFFFFF"/>
          <w:lang w:val="sr-Cyrl-RS"/>
        </w:rPr>
        <w:t xml:space="preserve"> и трошкова за зараде</w:t>
      </w:r>
      <w:r w:rsidR="00DF3C8D" w:rsidRPr="00E06A18">
        <w:rPr>
          <w:color w:val="222222"/>
          <w:shd w:val="clear" w:color="auto" w:fill="FFFFFF"/>
          <w:lang w:val="sr-Cyrl-RS"/>
        </w:rPr>
        <w:t xml:space="preserve"> (</w:t>
      </w:r>
      <w:r w:rsidR="005F0D07" w:rsidRPr="00E06A18">
        <w:rPr>
          <w:color w:val="222222"/>
          <w:shd w:val="clear" w:color="auto" w:fill="FFFFFF"/>
        </w:rPr>
        <w:t>D11</w:t>
      </w:r>
      <w:r w:rsidR="005F0D07" w:rsidRPr="00E06A18">
        <w:rPr>
          <w:color w:val="222222"/>
          <w:shd w:val="clear" w:color="auto" w:fill="FFFFFF"/>
          <w:lang w:val="sr-Cyrl-RS"/>
        </w:rPr>
        <w:t>),</w:t>
      </w:r>
      <w:r w:rsidR="00C87074" w:rsidRPr="00E06A18">
        <w:rPr>
          <w:color w:val="222222"/>
          <w:shd w:val="clear" w:color="auto" w:fill="FFFFFF"/>
          <w:lang w:val="sr-Cyrl-RS"/>
        </w:rPr>
        <w:t xml:space="preserve"> (ИТР), у 20</w:t>
      </w:r>
      <w:r w:rsidR="000F3A91" w:rsidRPr="00E06A18">
        <w:rPr>
          <w:color w:val="222222"/>
          <w:shd w:val="clear" w:color="auto" w:fill="FFFFFF"/>
          <w:lang w:val="sr-Cyrl-RS"/>
        </w:rPr>
        <w:t>20</w:t>
      </w:r>
      <w:r w:rsidR="00C87074" w:rsidRPr="00E06A18">
        <w:rPr>
          <w:color w:val="222222"/>
          <w:shd w:val="clear" w:color="auto" w:fill="FFFFFF"/>
          <w:lang w:val="sr-Cyrl-RS"/>
        </w:rPr>
        <w:t>. у односу на 20</w:t>
      </w:r>
      <w:r w:rsidR="000F3A91" w:rsidRPr="00E06A18">
        <w:rPr>
          <w:color w:val="222222"/>
          <w:shd w:val="clear" w:color="auto" w:fill="FFFFFF"/>
          <w:lang w:val="sr-Cyrl-RS"/>
        </w:rPr>
        <w:t>16</w:t>
      </w:r>
      <w:r w:rsidR="00C87074" w:rsidRPr="00E06A18">
        <w:rPr>
          <w:color w:val="222222"/>
          <w:shd w:val="clear" w:color="auto" w:fill="FFFFFF"/>
          <w:lang w:val="sr-Cyrl-RS"/>
        </w:rPr>
        <w:t xml:space="preserve">. годину, забележен је у </w:t>
      </w:r>
      <w:r w:rsidR="00786334" w:rsidRPr="00E06A18">
        <w:rPr>
          <w:color w:val="222222"/>
          <w:shd w:val="clear" w:color="auto" w:fill="FFFFFF"/>
          <w:lang w:val="sr-Cyrl-RS"/>
        </w:rPr>
        <w:t>сектор</w:t>
      </w:r>
      <w:r w:rsidR="00C87074" w:rsidRPr="00E06A18">
        <w:rPr>
          <w:color w:val="222222"/>
          <w:shd w:val="clear" w:color="auto" w:fill="FFFFFF"/>
          <w:lang w:val="sr-Cyrl-RS"/>
        </w:rPr>
        <w:t xml:space="preserve">у </w:t>
      </w:r>
      <w:r w:rsidR="00786334" w:rsidRPr="00E06A18">
        <w:rPr>
          <w:color w:val="222222"/>
          <w:shd w:val="clear" w:color="auto" w:fill="FFFFFF"/>
          <w:lang w:val="sr-Cyrl-RS"/>
        </w:rPr>
        <w:t xml:space="preserve"> делатности Информисање и комуникације</w:t>
      </w:r>
      <w:r w:rsidR="00C87074" w:rsidRPr="00E06A18">
        <w:rPr>
          <w:color w:val="222222"/>
          <w:shd w:val="clear" w:color="auto" w:fill="FFFFFF"/>
          <w:lang w:val="sr-Cyrl-RS"/>
        </w:rPr>
        <w:t xml:space="preserve"> и изн</w:t>
      </w:r>
      <w:r w:rsidR="00F22E22" w:rsidRPr="00E06A18">
        <w:rPr>
          <w:color w:val="222222"/>
          <w:shd w:val="clear" w:color="auto" w:fill="FFFFFF"/>
          <w:lang w:val="sr-Cyrl-RS"/>
        </w:rPr>
        <w:t xml:space="preserve">оси </w:t>
      </w:r>
      <w:r w:rsidR="000F3A91" w:rsidRPr="00E06A18">
        <w:rPr>
          <w:color w:val="222222"/>
          <w:shd w:val="clear" w:color="auto" w:fill="FFFFFF"/>
          <w:lang w:val="sr-Cyrl-RS"/>
        </w:rPr>
        <w:t>61,9</w:t>
      </w:r>
      <w:r w:rsidR="00F22E22" w:rsidRPr="00E06A18">
        <w:rPr>
          <w:color w:val="222222"/>
          <w:shd w:val="clear" w:color="auto" w:fill="FFFFFF"/>
          <w:lang w:val="sr-Cyrl-RS"/>
        </w:rPr>
        <w:t>% (</w:t>
      </w:r>
      <w:r w:rsidR="000F3A91" w:rsidRPr="00E06A18">
        <w:rPr>
          <w:color w:val="222222"/>
          <w:shd w:val="clear" w:color="auto" w:fill="FFFFFF"/>
          <w:lang w:val="sr-Cyrl-RS"/>
        </w:rPr>
        <w:t>Истраживање о зарадама</w:t>
      </w:r>
      <w:r w:rsidR="00F22E22" w:rsidRPr="00E06A18">
        <w:rPr>
          <w:color w:val="222222"/>
          <w:shd w:val="clear" w:color="auto" w:fill="FFFFFF"/>
          <w:lang w:val="sr-Cyrl-RS"/>
        </w:rPr>
        <w:t xml:space="preserve">), односно </w:t>
      </w:r>
      <w:r w:rsidR="000F3A91" w:rsidRPr="00E06A18">
        <w:rPr>
          <w:color w:val="222222"/>
          <w:shd w:val="clear" w:color="auto" w:fill="FFFFFF"/>
          <w:lang w:val="sr-Cyrl-RS"/>
        </w:rPr>
        <w:t>66,4</w:t>
      </w:r>
      <w:r w:rsidR="00C87074" w:rsidRPr="00E06A18">
        <w:rPr>
          <w:color w:val="222222"/>
          <w:shd w:val="clear" w:color="auto" w:fill="FFFFFF"/>
          <w:lang w:val="sr-Cyrl-RS"/>
        </w:rPr>
        <w:t xml:space="preserve">% (ИТР). </w:t>
      </w:r>
    </w:p>
    <w:p w14:paraId="6F65D080" w14:textId="6C35FBBC" w:rsidR="009573BA" w:rsidRPr="00CF70F0" w:rsidRDefault="000F3A91" w:rsidP="00B84E95">
      <w:pPr>
        <w:pStyle w:val="Pasus"/>
        <w:rPr>
          <w:color w:val="222222"/>
          <w:shd w:val="clear" w:color="auto" w:fill="FFFFFF"/>
          <w:lang w:val="sr-Latn-RS"/>
        </w:rPr>
      </w:pPr>
      <w:r w:rsidRPr="00E06A18">
        <w:rPr>
          <w:color w:val="222222"/>
          <w:shd w:val="clear" w:color="auto" w:fill="FFFFFF"/>
          <w:lang w:val="sr-Cyrl-RS"/>
        </w:rPr>
        <w:t>Н</w:t>
      </w:r>
      <w:r w:rsidR="00147CD3">
        <w:rPr>
          <w:color w:val="222222"/>
          <w:shd w:val="clear" w:color="auto" w:fill="FFFFFF"/>
          <w:lang w:val="sr-Cyrl-RS"/>
        </w:rPr>
        <w:t>а</w:t>
      </w:r>
      <w:r w:rsidRPr="00E06A18">
        <w:rPr>
          <w:color w:val="222222"/>
          <w:shd w:val="clear" w:color="auto" w:fill="FFFFFF"/>
          <w:lang w:val="sr-Cyrl-RS"/>
        </w:rPr>
        <w:t xml:space="preserve">јвећа разлика у кретању зарада (Истраживање о зарадама) </w:t>
      </w:r>
      <w:r w:rsidR="00DB0987" w:rsidRPr="00E06A18">
        <w:rPr>
          <w:color w:val="222222"/>
          <w:shd w:val="clear" w:color="auto" w:fill="FFFFFF"/>
          <w:lang w:val="sr-Cyrl-RS"/>
        </w:rPr>
        <w:t>и трошкова за зараде (ИТР) је у</w:t>
      </w:r>
      <w:r w:rsidR="002E054A" w:rsidRPr="00E06A18">
        <w:rPr>
          <w:color w:val="222222"/>
          <w:shd w:val="clear" w:color="auto" w:fill="FFFFFF"/>
          <w:lang w:val="sr-Cyrl-RS"/>
        </w:rPr>
        <w:t xml:space="preserve"> сектор</w:t>
      </w:r>
      <w:r w:rsidR="00DB0987" w:rsidRPr="00E06A18">
        <w:rPr>
          <w:color w:val="222222"/>
          <w:shd w:val="clear" w:color="auto" w:fill="FFFFFF"/>
          <w:lang w:val="sr-Cyrl-RS"/>
        </w:rPr>
        <w:t>у</w:t>
      </w:r>
      <w:r w:rsidR="002E054A" w:rsidRPr="00E06A18">
        <w:rPr>
          <w:color w:val="222222"/>
          <w:shd w:val="clear" w:color="auto" w:fill="FFFFFF"/>
          <w:lang w:val="sr-Cyrl-RS"/>
        </w:rPr>
        <w:t xml:space="preserve"> делатности</w:t>
      </w:r>
      <w:r w:rsidR="00FC6060" w:rsidRPr="00E06A18">
        <w:rPr>
          <w:color w:val="222222"/>
          <w:shd w:val="clear" w:color="auto" w:fill="FFFFFF"/>
          <w:lang w:val="sr-Cyrl-RS"/>
        </w:rPr>
        <w:t xml:space="preserve"> Пoсловање некретнинам</w:t>
      </w:r>
      <w:r w:rsidR="00CC0CBD" w:rsidRPr="00E06A18">
        <w:rPr>
          <w:color w:val="222222"/>
          <w:shd w:val="clear" w:color="auto" w:fill="FFFFFF"/>
          <w:lang w:val="sr-Cyrl-RS"/>
        </w:rPr>
        <w:t>а</w:t>
      </w:r>
      <w:r w:rsidR="00DB0987" w:rsidRPr="00E06A18">
        <w:rPr>
          <w:color w:val="222222"/>
          <w:shd w:val="clear" w:color="auto" w:fill="FFFFFF"/>
          <w:lang w:val="sr-Cyrl-RS"/>
        </w:rPr>
        <w:t xml:space="preserve"> </w:t>
      </w:r>
      <w:r w:rsidR="00FC6060" w:rsidRPr="00E06A18">
        <w:rPr>
          <w:color w:val="222222"/>
          <w:shd w:val="clear" w:color="auto" w:fill="FFFFFF"/>
          <w:lang w:val="sr-Cyrl-RS"/>
        </w:rPr>
        <w:t xml:space="preserve">Међутим, </w:t>
      </w:r>
      <w:r w:rsidR="00E06A18" w:rsidRPr="00E06A18">
        <w:rPr>
          <w:color w:val="222222"/>
          <w:shd w:val="clear" w:color="auto" w:fill="FFFFFF"/>
          <w:lang w:val="sr-Cyrl-RS"/>
        </w:rPr>
        <w:t>оваква</w:t>
      </w:r>
      <w:r w:rsidR="00FC6060" w:rsidRPr="00E06A18">
        <w:rPr>
          <w:color w:val="222222"/>
          <w:shd w:val="clear" w:color="auto" w:fill="FFFFFF"/>
          <w:lang w:val="sr-Cyrl-RS"/>
        </w:rPr>
        <w:t xml:space="preserve"> динамика кретања може се тумачити у корист кохе</w:t>
      </w:r>
      <w:r w:rsidR="00A04849" w:rsidRPr="00E06A18">
        <w:rPr>
          <w:color w:val="222222"/>
          <w:shd w:val="clear" w:color="auto" w:fill="FFFFFF"/>
          <w:lang w:val="sr-Cyrl-RS"/>
        </w:rPr>
        <w:t>р</w:t>
      </w:r>
      <w:r w:rsidR="00FC6060" w:rsidRPr="00E06A18">
        <w:rPr>
          <w:color w:val="222222"/>
          <w:shd w:val="clear" w:color="auto" w:fill="FFFFFF"/>
          <w:lang w:val="sr-Cyrl-RS"/>
        </w:rPr>
        <w:t>ентности ов</w:t>
      </w:r>
      <w:r w:rsidR="00B84E95" w:rsidRPr="00E06A18">
        <w:rPr>
          <w:color w:val="222222"/>
          <w:shd w:val="clear" w:color="auto" w:fill="FFFFFF"/>
          <w:lang w:val="sr-Cyrl-RS"/>
        </w:rPr>
        <w:t>а дв</w:t>
      </w:r>
      <w:r w:rsidR="00FC6060" w:rsidRPr="00E06A18">
        <w:rPr>
          <w:color w:val="222222"/>
          <w:shd w:val="clear" w:color="auto" w:fill="FFFFFF"/>
          <w:lang w:val="sr-Cyrl-RS"/>
        </w:rPr>
        <w:t>а</w:t>
      </w:r>
      <w:r w:rsidR="00B84E95" w:rsidRPr="00E06A18">
        <w:rPr>
          <w:color w:val="222222"/>
          <w:shd w:val="clear" w:color="auto" w:fill="FFFFFF"/>
          <w:lang w:val="sr-Cyrl-RS"/>
        </w:rPr>
        <w:t xml:space="preserve"> </w:t>
      </w:r>
      <w:r w:rsidR="00FC6060" w:rsidRPr="00E06A18">
        <w:rPr>
          <w:color w:val="222222"/>
          <w:shd w:val="clear" w:color="auto" w:fill="FFFFFF"/>
          <w:lang w:val="sr-Cyrl-RS"/>
        </w:rPr>
        <w:t xml:space="preserve">истраживања. </w:t>
      </w:r>
      <w:r w:rsidR="00CD777B" w:rsidRPr="00E06A18">
        <w:rPr>
          <w:color w:val="222222"/>
          <w:shd w:val="clear" w:color="auto" w:fill="FFFFFF"/>
          <w:lang w:val="sr-Cyrl-RS"/>
        </w:rPr>
        <w:t>Наиме, у израчунавању података о просечним зарадама (Истраживање о зарадама</w:t>
      </w:r>
      <w:r w:rsidR="00190C65" w:rsidRPr="00E06A18">
        <w:rPr>
          <w:color w:val="222222"/>
          <w:shd w:val="clear" w:color="auto" w:fill="FFFFFF"/>
          <w:lang w:val="sr-Cyrl-RS"/>
        </w:rPr>
        <w:t>)</w:t>
      </w:r>
      <w:r w:rsidR="00CD777B" w:rsidRPr="00E06A18">
        <w:rPr>
          <w:color w:val="222222"/>
          <w:shd w:val="clear" w:color="auto" w:fill="FFFFFF"/>
          <w:lang w:val="sr-Cyrl-RS"/>
        </w:rPr>
        <w:t xml:space="preserve"> обухваћена</w:t>
      </w:r>
      <w:r w:rsidR="00CD777B" w:rsidRPr="00CD777B">
        <w:rPr>
          <w:color w:val="222222"/>
          <w:shd w:val="clear" w:color="auto" w:fill="FFFFFF"/>
          <w:lang w:val="sr-Cyrl-RS"/>
        </w:rPr>
        <w:t xml:space="preserve"> </w:t>
      </w:r>
      <w:r w:rsidR="00190C65">
        <w:rPr>
          <w:color w:val="222222"/>
          <w:shd w:val="clear" w:color="auto" w:fill="FFFFFF"/>
          <w:lang w:val="sr-Cyrl-RS"/>
        </w:rPr>
        <w:t xml:space="preserve">су </w:t>
      </w:r>
      <w:r w:rsidR="00CD777B" w:rsidRPr="00CD777B">
        <w:rPr>
          <w:color w:val="222222"/>
          <w:shd w:val="clear" w:color="auto" w:fill="FFFFFF"/>
          <w:lang w:val="sr-Cyrl-RS"/>
        </w:rPr>
        <w:t xml:space="preserve">сва предузећа без обзира на </w:t>
      </w:r>
      <w:r w:rsidR="00CD777B">
        <w:rPr>
          <w:color w:val="222222"/>
          <w:shd w:val="clear" w:color="auto" w:fill="FFFFFF"/>
          <w:lang w:val="sr-Cyrl-RS"/>
        </w:rPr>
        <w:t>број запослених,</w:t>
      </w:r>
      <w:r w:rsidR="00190C65">
        <w:rPr>
          <w:color w:val="222222"/>
          <w:shd w:val="clear" w:color="auto" w:fill="FFFFFF"/>
          <w:lang w:val="sr-Cyrl-RS"/>
        </w:rPr>
        <w:t xml:space="preserve"> </w:t>
      </w:r>
      <w:r w:rsidR="00CD777B">
        <w:rPr>
          <w:color w:val="222222"/>
          <w:shd w:val="clear" w:color="auto" w:fill="FFFFFF"/>
          <w:lang w:val="sr-Cyrl-RS"/>
        </w:rPr>
        <w:t>док за израчунавање трошкова рада (ИТР) узорком су обухваћена само предузећа са десет и више запослених.</w:t>
      </w:r>
      <w:r w:rsidR="0030062D">
        <w:rPr>
          <w:color w:val="222222"/>
          <w:shd w:val="clear" w:color="auto" w:fill="FFFFFF"/>
          <w:lang w:val="sr-Cyrl-RS"/>
        </w:rPr>
        <w:t xml:space="preserve"> Према </w:t>
      </w:r>
      <w:r w:rsidR="00631A60">
        <w:rPr>
          <w:color w:val="222222"/>
          <w:shd w:val="clear" w:color="auto" w:fill="FFFFFF"/>
          <w:lang w:val="sr-Cyrl-RS"/>
        </w:rPr>
        <w:t>И</w:t>
      </w:r>
      <w:r w:rsidR="0030062D">
        <w:rPr>
          <w:color w:val="222222"/>
          <w:shd w:val="clear" w:color="auto" w:fill="FFFFFF"/>
          <w:lang w:val="sr-Cyrl-RS"/>
        </w:rPr>
        <w:t>страживању о зарадама у</w:t>
      </w:r>
      <w:r w:rsidR="00CD777B" w:rsidRPr="00CD777B">
        <w:rPr>
          <w:color w:val="222222"/>
          <w:shd w:val="clear" w:color="auto" w:fill="FFFFFF"/>
          <w:lang w:val="sr-Cyrl-RS"/>
        </w:rPr>
        <w:t xml:space="preserve"> поменутом сектору преко 40% запоселних рад</w:t>
      </w:r>
      <w:r w:rsidR="0030062D">
        <w:rPr>
          <w:color w:val="222222"/>
          <w:shd w:val="clear" w:color="auto" w:fill="FFFFFF"/>
          <w:lang w:val="sr-Cyrl-RS"/>
        </w:rPr>
        <w:t>и</w:t>
      </w:r>
      <w:r w:rsidR="00CD777B" w:rsidRPr="00CD777B">
        <w:rPr>
          <w:color w:val="222222"/>
          <w:shd w:val="clear" w:color="auto" w:fill="FFFFFF"/>
          <w:lang w:val="sr-Cyrl-RS"/>
        </w:rPr>
        <w:t xml:space="preserve"> у предузећима са мање од 10 запослених. </w:t>
      </w:r>
    </w:p>
    <w:sectPr w:rsidR="009573BA" w:rsidRPr="00CF70F0" w:rsidSect="009201A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IS">
    <w:altName w:val="Arial"/>
    <w:charset w:val="00"/>
    <w:family w:val="swiss"/>
    <w:pitch w:val="variable"/>
    <w:sig w:usb0="20001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A194F"/>
    <w:multiLevelType w:val="hybridMultilevel"/>
    <w:tmpl w:val="DD0A62DE"/>
    <w:lvl w:ilvl="0" w:tplc="AAC0FA3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05"/>
    <w:rsid w:val="000161E5"/>
    <w:rsid w:val="000444E8"/>
    <w:rsid w:val="000643F7"/>
    <w:rsid w:val="00076BF0"/>
    <w:rsid w:val="00093030"/>
    <w:rsid w:val="00096AD5"/>
    <w:rsid w:val="000A01F4"/>
    <w:rsid w:val="000B62B5"/>
    <w:rsid w:val="000E21B7"/>
    <w:rsid w:val="000E3980"/>
    <w:rsid w:val="000F039C"/>
    <w:rsid w:val="000F3A91"/>
    <w:rsid w:val="00102EE3"/>
    <w:rsid w:val="00115425"/>
    <w:rsid w:val="00134D03"/>
    <w:rsid w:val="00137348"/>
    <w:rsid w:val="00147CD3"/>
    <w:rsid w:val="001774DC"/>
    <w:rsid w:val="001822DC"/>
    <w:rsid w:val="00190C65"/>
    <w:rsid w:val="001A0905"/>
    <w:rsid w:val="001B7A11"/>
    <w:rsid w:val="001E4EDD"/>
    <w:rsid w:val="001F40E2"/>
    <w:rsid w:val="0023293B"/>
    <w:rsid w:val="002642F4"/>
    <w:rsid w:val="002C0BE5"/>
    <w:rsid w:val="002E054A"/>
    <w:rsid w:val="0030062D"/>
    <w:rsid w:val="0034060E"/>
    <w:rsid w:val="00361655"/>
    <w:rsid w:val="00380127"/>
    <w:rsid w:val="0039519B"/>
    <w:rsid w:val="003A586D"/>
    <w:rsid w:val="003D4C49"/>
    <w:rsid w:val="004048E9"/>
    <w:rsid w:val="004059F1"/>
    <w:rsid w:val="00417032"/>
    <w:rsid w:val="00433690"/>
    <w:rsid w:val="004C0F1A"/>
    <w:rsid w:val="004D2C10"/>
    <w:rsid w:val="00503921"/>
    <w:rsid w:val="0050676C"/>
    <w:rsid w:val="005074E5"/>
    <w:rsid w:val="00521B2B"/>
    <w:rsid w:val="0054405A"/>
    <w:rsid w:val="00545E3F"/>
    <w:rsid w:val="005965AE"/>
    <w:rsid w:val="005B07D3"/>
    <w:rsid w:val="005C7697"/>
    <w:rsid w:val="005D294A"/>
    <w:rsid w:val="005F0D07"/>
    <w:rsid w:val="005F7812"/>
    <w:rsid w:val="00624F80"/>
    <w:rsid w:val="006267F2"/>
    <w:rsid w:val="00631A60"/>
    <w:rsid w:val="00642B59"/>
    <w:rsid w:val="00642CD2"/>
    <w:rsid w:val="006600F4"/>
    <w:rsid w:val="0067785B"/>
    <w:rsid w:val="006A4DC0"/>
    <w:rsid w:val="006A6AEC"/>
    <w:rsid w:val="006D20B3"/>
    <w:rsid w:val="006E62D3"/>
    <w:rsid w:val="006F0049"/>
    <w:rsid w:val="007009F2"/>
    <w:rsid w:val="00786334"/>
    <w:rsid w:val="007A3576"/>
    <w:rsid w:val="007D2681"/>
    <w:rsid w:val="007F1E45"/>
    <w:rsid w:val="008021E8"/>
    <w:rsid w:val="00810769"/>
    <w:rsid w:val="00812C71"/>
    <w:rsid w:val="008152AF"/>
    <w:rsid w:val="00847F01"/>
    <w:rsid w:val="00874B90"/>
    <w:rsid w:val="008751C6"/>
    <w:rsid w:val="00880F33"/>
    <w:rsid w:val="00896A66"/>
    <w:rsid w:val="008B4803"/>
    <w:rsid w:val="008D6BB7"/>
    <w:rsid w:val="008D6F89"/>
    <w:rsid w:val="009201A7"/>
    <w:rsid w:val="009272EB"/>
    <w:rsid w:val="00941B0E"/>
    <w:rsid w:val="00946A43"/>
    <w:rsid w:val="009573BA"/>
    <w:rsid w:val="00972D8A"/>
    <w:rsid w:val="009B29E9"/>
    <w:rsid w:val="009B6705"/>
    <w:rsid w:val="009B719C"/>
    <w:rsid w:val="009D27B8"/>
    <w:rsid w:val="009E1296"/>
    <w:rsid w:val="009E3ED8"/>
    <w:rsid w:val="009E40CE"/>
    <w:rsid w:val="009F15DC"/>
    <w:rsid w:val="009F3B82"/>
    <w:rsid w:val="00A04849"/>
    <w:rsid w:val="00A10335"/>
    <w:rsid w:val="00A134D6"/>
    <w:rsid w:val="00A27C71"/>
    <w:rsid w:val="00A34AE8"/>
    <w:rsid w:val="00A356C5"/>
    <w:rsid w:val="00A62C95"/>
    <w:rsid w:val="00A80F50"/>
    <w:rsid w:val="00A90153"/>
    <w:rsid w:val="00AC18EA"/>
    <w:rsid w:val="00AC46FC"/>
    <w:rsid w:val="00AD5344"/>
    <w:rsid w:val="00AE564E"/>
    <w:rsid w:val="00AF578A"/>
    <w:rsid w:val="00B4610E"/>
    <w:rsid w:val="00B47E3C"/>
    <w:rsid w:val="00B65A9B"/>
    <w:rsid w:val="00B8113D"/>
    <w:rsid w:val="00B84E95"/>
    <w:rsid w:val="00BB291E"/>
    <w:rsid w:val="00C11A88"/>
    <w:rsid w:val="00C17016"/>
    <w:rsid w:val="00C1742E"/>
    <w:rsid w:val="00C67CA9"/>
    <w:rsid w:val="00C850DF"/>
    <w:rsid w:val="00C87074"/>
    <w:rsid w:val="00CC0CBD"/>
    <w:rsid w:val="00CC7654"/>
    <w:rsid w:val="00CD777B"/>
    <w:rsid w:val="00CF1C0A"/>
    <w:rsid w:val="00CF6FD1"/>
    <w:rsid w:val="00CF70F0"/>
    <w:rsid w:val="00D852A3"/>
    <w:rsid w:val="00D96160"/>
    <w:rsid w:val="00DB0987"/>
    <w:rsid w:val="00DC6EED"/>
    <w:rsid w:val="00DC74AA"/>
    <w:rsid w:val="00DD391B"/>
    <w:rsid w:val="00DF3C8D"/>
    <w:rsid w:val="00E06A18"/>
    <w:rsid w:val="00E30D77"/>
    <w:rsid w:val="00E54B40"/>
    <w:rsid w:val="00E7164F"/>
    <w:rsid w:val="00EA09F5"/>
    <w:rsid w:val="00EC16F3"/>
    <w:rsid w:val="00ED24B0"/>
    <w:rsid w:val="00ED7909"/>
    <w:rsid w:val="00EE5951"/>
    <w:rsid w:val="00F11167"/>
    <w:rsid w:val="00F22E22"/>
    <w:rsid w:val="00F46C1B"/>
    <w:rsid w:val="00F51067"/>
    <w:rsid w:val="00F741C1"/>
    <w:rsid w:val="00FA4FF6"/>
    <w:rsid w:val="00FB0030"/>
    <w:rsid w:val="00FC6060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A3151D"/>
  <w15:docId w15:val="{9C232D8C-E1A4-40DC-89EF-1A124985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5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us">
    <w:name w:val="Pasus"/>
    <w:basedOn w:val="Normal"/>
    <w:link w:val="PasusChar"/>
    <w:rsid w:val="00810769"/>
    <w:pPr>
      <w:spacing w:after="0" w:line="240" w:lineRule="auto"/>
      <w:ind w:left="284" w:firstLine="567"/>
      <w:jc w:val="both"/>
    </w:pPr>
    <w:rPr>
      <w:rFonts w:ascii="Arial" w:eastAsia="Times New Roman" w:hAnsi="Arial" w:cs="Arial"/>
      <w:sz w:val="20"/>
      <w:szCs w:val="20"/>
      <w:lang w:val="sr-Cyrl-CS"/>
    </w:rPr>
  </w:style>
  <w:style w:type="character" w:customStyle="1" w:styleId="PasusChar">
    <w:name w:val="Pasus Char"/>
    <w:basedOn w:val="DefaultParagraphFont"/>
    <w:link w:val="Pasus"/>
    <w:rsid w:val="00810769"/>
    <w:rPr>
      <w:rFonts w:ascii="Arial" w:eastAsia="Times New Roman" w:hAnsi="Arial" w:cs="Arial"/>
      <w:sz w:val="20"/>
      <w:szCs w:val="20"/>
      <w:lang w:val="sr-Cyrl-CS"/>
    </w:rPr>
  </w:style>
  <w:style w:type="paragraph" w:customStyle="1" w:styleId="CharCharCharCharChar1Char">
    <w:name w:val="Char Char Char Char Char1 Char"/>
    <w:basedOn w:val="Normal"/>
    <w:rsid w:val="00810769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01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48E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B7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1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2800225921126954E-2"/>
          <c:y val="0.11075419144035567"/>
          <c:w val="0.61697009370265776"/>
          <c:h val="0.408580891674254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Sheet3!$K$46</c:f>
              <c:strCache>
                <c:ptCount val="1"/>
                <c:pt idx="0">
                  <c:v>ø месечне бруто зараде (Истраживање о зарадама), 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Sheet3!$J$47:$J$66</c:f>
              <c:strCache>
                <c:ptCount val="20"/>
                <c:pt idx="0">
                  <c:v>Укупно</c:v>
                </c:pt>
                <c:pt idx="1">
                  <c:v>Пољопривреда, шумарство и рибарство</c:v>
                </c:pt>
                <c:pt idx="2">
                  <c:v>Рударство</c:v>
                </c:pt>
                <c:pt idx="3">
                  <c:v>Прерађивачка индустрија</c:v>
                </c:pt>
                <c:pt idx="4">
                  <c:v>Снабдевање електричном енергијом, гасом и паром</c:v>
                </c:pt>
                <c:pt idx="5">
                  <c:v>Снабдевање водом и управљање отпадним водама</c:v>
                </c:pt>
                <c:pt idx="6">
                  <c:v>Грађевинарство</c:v>
                </c:pt>
                <c:pt idx="7">
                  <c:v>Трговина на велико и мало и поправка моторних возила</c:v>
                </c:pt>
                <c:pt idx="8">
                  <c:v>Саобраћај и складиштење</c:v>
                </c:pt>
                <c:pt idx="9">
                  <c:v>Услуге смештаја и исхране</c:v>
                </c:pt>
                <c:pt idx="10">
                  <c:v>Информисање и комуникације</c:v>
                </c:pt>
                <c:pt idx="11">
                  <c:v>Финансијске делатности и делатност осигурања</c:v>
                </c:pt>
                <c:pt idx="12">
                  <c:v>Пословање некретнинама</c:v>
                </c:pt>
                <c:pt idx="13">
                  <c:v>Стручне, научне, информационе и техничке делатности</c:v>
                </c:pt>
                <c:pt idx="14">
                  <c:v>Административне и помоћне услужне делатности</c:v>
                </c:pt>
                <c:pt idx="15">
                  <c:v>Државна управа и обавезно социјално осигурање</c:v>
                </c:pt>
                <c:pt idx="16">
                  <c:v>Образовање</c:v>
                </c:pt>
                <c:pt idx="17">
                  <c:v>Здравствена и социјална заштита</c:v>
                </c:pt>
                <c:pt idx="18">
                  <c:v>Уметност; забава и рекреација</c:v>
                </c:pt>
                <c:pt idx="19">
                  <c:v>Остале услужне делатности</c:v>
                </c:pt>
              </c:strCache>
            </c:strRef>
          </c:cat>
          <c:val>
            <c:numRef>
              <c:f>Sheet3!$K$47:$K$66</c:f>
              <c:numCache>
                <c:formatCode>0</c:formatCode>
                <c:ptCount val="20"/>
                <c:pt idx="0">
                  <c:v>82984</c:v>
                </c:pt>
                <c:pt idx="1">
                  <c:v>72174</c:v>
                </c:pt>
                <c:pt idx="2">
                  <c:v>126362</c:v>
                </c:pt>
                <c:pt idx="3">
                  <c:v>72788</c:v>
                </c:pt>
                <c:pt idx="4">
                  <c:v>136680</c:v>
                </c:pt>
                <c:pt idx="5">
                  <c:v>75388</c:v>
                </c:pt>
                <c:pt idx="6">
                  <c:v>72392</c:v>
                </c:pt>
                <c:pt idx="7">
                  <c:v>68286</c:v>
                </c:pt>
                <c:pt idx="8">
                  <c:v>72780</c:v>
                </c:pt>
                <c:pt idx="9">
                  <c:v>50837</c:v>
                </c:pt>
                <c:pt idx="10">
                  <c:v>163609</c:v>
                </c:pt>
                <c:pt idx="11">
                  <c:v>139287</c:v>
                </c:pt>
                <c:pt idx="12">
                  <c:v>80534</c:v>
                </c:pt>
                <c:pt idx="13">
                  <c:v>104385</c:v>
                </c:pt>
                <c:pt idx="14">
                  <c:v>75350</c:v>
                </c:pt>
                <c:pt idx="15">
                  <c:v>97527</c:v>
                </c:pt>
                <c:pt idx="16">
                  <c:v>84169</c:v>
                </c:pt>
                <c:pt idx="17">
                  <c:v>90682</c:v>
                </c:pt>
                <c:pt idx="18">
                  <c:v>67106</c:v>
                </c:pt>
                <c:pt idx="19">
                  <c:v>62227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16-4FB1-A097-DB60995981FA}"/>
            </c:ext>
          </c:extLst>
        </c:ser>
        <c:ser>
          <c:idx val="1"/>
          <c:order val="1"/>
          <c:tx>
            <c:strRef>
              <c:f>Sheet3!$L$46</c:f>
              <c:strCache>
                <c:ptCount val="1"/>
                <c:pt idx="0">
                  <c:v>ø месечни трошкови за зараде, накнаде зарада и остале исплате запосленима (D11), (ИТР),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Sheet3!$J$47:$J$66</c:f>
              <c:strCache>
                <c:ptCount val="20"/>
                <c:pt idx="0">
                  <c:v>Укупно</c:v>
                </c:pt>
                <c:pt idx="1">
                  <c:v>Пољопривреда, шумарство и рибарство</c:v>
                </c:pt>
                <c:pt idx="2">
                  <c:v>Рударство</c:v>
                </c:pt>
                <c:pt idx="3">
                  <c:v>Прерађивачка индустрија</c:v>
                </c:pt>
                <c:pt idx="4">
                  <c:v>Снабдевање електричном енергијом, гасом и паром</c:v>
                </c:pt>
                <c:pt idx="5">
                  <c:v>Снабдевање водом и управљање отпадним водама</c:v>
                </c:pt>
                <c:pt idx="6">
                  <c:v>Грађевинарство</c:v>
                </c:pt>
                <c:pt idx="7">
                  <c:v>Трговина на велико и мало и поправка моторних возила</c:v>
                </c:pt>
                <c:pt idx="8">
                  <c:v>Саобраћај и складиштење</c:v>
                </c:pt>
                <c:pt idx="9">
                  <c:v>Услуге смештаја и исхране</c:v>
                </c:pt>
                <c:pt idx="10">
                  <c:v>Информисање и комуникације</c:v>
                </c:pt>
                <c:pt idx="11">
                  <c:v>Финансијске делатности и делатност осигурања</c:v>
                </c:pt>
                <c:pt idx="12">
                  <c:v>Пословање некретнинама</c:v>
                </c:pt>
                <c:pt idx="13">
                  <c:v>Стручне, научне, информационе и техничке делатности</c:v>
                </c:pt>
                <c:pt idx="14">
                  <c:v>Административне и помоћне услужне делатности</c:v>
                </c:pt>
                <c:pt idx="15">
                  <c:v>Државна управа и обавезно социјално осигурање</c:v>
                </c:pt>
                <c:pt idx="16">
                  <c:v>Образовање</c:v>
                </c:pt>
                <c:pt idx="17">
                  <c:v>Здравствена и социјална заштита</c:v>
                </c:pt>
                <c:pt idx="18">
                  <c:v>Уметност; забава и рекреација</c:v>
                </c:pt>
                <c:pt idx="19">
                  <c:v>Остале услужне делатности</c:v>
                </c:pt>
              </c:strCache>
            </c:strRef>
          </c:cat>
          <c:val>
            <c:numRef>
              <c:f>Sheet3!$L$47:$L$66</c:f>
              <c:numCache>
                <c:formatCode>0</c:formatCode>
                <c:ptCount val="20"/>
                <c:pt idx="0">
                  <c:v>96810</c:v>
                </c:pt>
                <c:pt idx="1">
                  <c:v>80335.49246685415</c:v>
                </c:pt>
                <c:pt idx="2">
                  <c:v>168330.49546795478</c:v>
                </c:pt>
                <c:pt idx="3">
                  <c:v>82519.902955492085</c:v>
                </c:pt>
                <c:pt idx="4">
                  <c:v>165110.01565762004</c:v>
                </c:pt>
                <c:pt idx="5">
                  <c:v>81699.2470892969</c:v>
                </c:pt>
                <c:pt idx="6">
                  <c:v>89859.401253383359</c:v>
                </c:pt>
                <c:pt idx="7">
                  <c:v>78773.838310022475</c:v>
                </c:pt>
                <c:pt idx="8">
                  <c:v>83953.13628117535</c:v>
                </c:pt>
                <c:pt idx="9">
                  <c:v>71288.704043842983</c:v>
                </c:pt>
                <c:pt idx="10">
                  <c:v>190481.59815768505</c:v>
                </c:pt>
                <c:pt idx="11">
                  <c:v>143891.51237453564</c:v>
                </c:pt>
                <c:pt idx="12">
                  <c:v>104580.41217275074</c:v>
                </c:pt>
                <c:pt idx="13">
                  <c:v>131765.6135260697</c:v>
                </c:pt>
                <c:pt idx="14">
                  <c:v>85006.622643770868</c:v>
                </c:pt>
                <c:pt idx="15">
                  <c:v>111496.76889700214</c:v>
                </c:pt>
                <c:pt idx="16">
                  <c:v>97187.858735524511</c:v>
                </c:pt>
                <c:pt idx="17">
                  <c:v>98066.203800503863</c:v>
                </c:pt>
                <c:pt idx="18">
                  <c:v>74835.381480712094</c:v>
                </c:pt>
                <c:pt idx="19">
                  <c:v>82416.655039521385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16-4FB1-A097-DB60995981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0604800"/>
        <c:axId val="230606720"/>
      </c:barChart>
      <c:lineChart>
        <c:grouping val="standard"/>
        <c:varyColors val="0"/>
        <c:ser>
          <c:idx val="2"/>
          <c:order val="2"/>
          <c:tx>
            <c:strRef>
              <c:f>Sheet3!$M$46</c:f>
              <c:strCache>
                <c:ptCount val="1"/>
                <c:pt idx="0">
                  <c:v>Индекс ø месечних зарада у години (Истраживање о зарадама) 2016=100</c:v>
                </c:pt>
              </c:strCache>
            </c:strRef>
          </c:tx>
          <c:spPr>
            <a:ln w="19050" cap="rnd" cmpd="sng" algn="ctr">
              <a:solidFill>
                <a:schemeClr val="accent3"/>
              </a:solidFill>
              <a:prstDash val="solid"/>
              <a:round/>
            </a:ln>
            <a:effectLst/>
          </c:spPr>
          <c:marker>
            <c:symbol val="diamond"/>
            <c:size val="7"/>
            <c:spPr>
              <a:solidFill>
                <a:schemeClr val="accent3"/>
              </a:solidFill>
              <a:ln w="6350" cap="flat" cmpd="sng" algn="ctr">
                <a:solidFill>
                  <a:schemeClr val="accent3"/>
                </a:solidFill>
                <a:prstDash val="solid"/>
                <a:round/>
              </a:ln>
              <a:effectLst/>
            </c:spPr>
          </c:marker>
          <c:cat>
            <c:strRef>
              <c:f>Sheet3!$J$47:$J$66</c:f>
              <c:strCache>
                <c:ptCount val="20"/>
                <c:pt idx="0">
                  <c:v>Укупно</c:v>
                </c:pt>
                <c:pt idx="1">
                  <c:v>Пољопривреда, шумарство и рибарство</c:v>
                </c:pt>
                <c:pt idx="2">
                  <c:v>Рударство</c:v>
                </c:pt>
                <c:pt idx="3">
                  <c:v>Прерађивачка индустрија</c:v>
                </c:pt>
                <c:pt idx="4">
                  <c:v>Снабдевање електричном енергијом, гасом и паром</c:v>
                </c:pt>
                <c:pt idx="5">
                  <c:v>Снабдевање водом и управљање отпадним водама</c:v>
                </c:pt>
                <c:pt idx="6">
                  <c:v>Грађевинарство</c:v>
                </c:pt>
                <c:pt idx="7">
                  <c:v>Трговина на велико и мало и поправка моторних возила</c:v>
                </c:pt>
                <c:pt idx="8">
                  <c:v>Саобраћај и складиштење</c:v>
                </c:pt>
                <c:pt idx="9">
                  <c:v>Услуге смештаја и исхране</c:v>
                </c:pt>
                <c:pt idx="10">
                  <c:v>Информисање и комуникације</c:v>
                </c:pt>
                <c:pt idx="11">
                  <c:v>Финансијске делатности и делатност осигурања</c:v>
                </c:pt>
                <c:pt idx="12">
                  <c:v>Пословање некретнинама</c:v>
                </c:pt>
                <c:pt idx="13">
                  <c:v>Стручне, научне, информационе и техничке делатности</c:v>
                </c:pt>
                <c:pt idx="14">
                  <c:v>Административне и помоћне услужне делатности</c:v>
                </c:pt>
                <c:pt idx="15">
                  <c:v>Државна управа и обавезно социјално осигурање</c:v>
                </c:pt>
                <c:pt idx="16">
                  <c:v>Образовање</c:v>
                </c:pt>
                <c:pt idx="17">
                  <c:v>Здравствена и социјална заштита</c:v>
                </c:pt>
                <c:pt idx="18">
                  <c:v>Уметност; забава и рекреација</c:v>
                </c:pt>
                <c:pt idx="19">
                  <c:v>Остале услужне делатности</c:v>
                </c:pt>
              </c:strCache>
            </c:strRef>
          </c:cat>
          <c:val>
            <c:numRef>
              <c:f>Sheet3!$M$47:$M$66</c:f>
              <c:numCache>
                <c:formatCode>0.0</c:formatCode>
                <c:ptCount val="20"/>
                <c:pt idx="0">
                  <c:v>133.25938665000001</c:v>
                </c:pt>
                <c:pt idx="1">
                  <c:v>138.21686424000001</c:v>
                </c:pt>
                <c:pt idx="2">
                  <c:v>122.44031816050001</c:v>
                </c:pt>
                <c:pt idx="3">
                  <c:v>130.057573228</c:v>
                </c:pt>
                <c:pt idx="4">
                  <c:v>124.961205564</c:v>
                </c:pt>
                <c:pt idx="5">
                  <c:v>135.15529830400001</c:v>
                </c:pt>
                <c:pt idx="6">
                  <c:v>132.36600031199998</c:v>
                </c:pt>
                <c:pt idx="7">
                  <c:v>133.95594491759999</c:v>
                </c:pt>
                <c:pt idx="8">
                  <c:v>126.30431019150001</c:v>
                </c:pt>
                <c:pt idx="9">
                  <c:v>132.14545930260002</c:v>
                </c:pt>
                <c:pt idx="10">
                  <c:v>161.90775625639998</c:v>
                </c:pt>
                <c:pt idx="11">
                  <c:v>118.40631660000001</c:v>
                </c:pt>
                <c:pt idx="12">
                  <c:v>123.396526968</c:v>
                </c:pt>
                <c:pt idx="13">
                  <c:v>132.57313031249998</c:v>
                </c:pt>
                <c:pt idx="14">
                  <c:v>146.0964099336</c:v>
                </c:pt>
                <c:pt idx="15">
                  <c:v>132.69652025040003</c:v>
                </c:pt>
                <c:pt idx="16">
                  <c:v>130.0271643216</c:v>
                </c:pt>
                <c:pt idx="17">
                  <c:v>148.43167023999996</c:v>
                </c:pt>
                <c:pt idx="18">
                  <c:v>131.97434811600002</c:v>
                </c:pt>
                <c:pt idx="19">
                  <c:v>121.95605260999996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D16-4FB1-A097-DB60995981FA}"/>
            </c:ext>
          </c:extLst>
        </c:ser>
        <c:ser>
          <c:idx val="3"/>
          <c:order val="3"/>
          <c:tx>
            <c:strRef>
              <c:f>Sheet3!$N$46</c:f>
              <c:strCache>
                <c:ptCount val="1"/>
                <c:pt idx="0">
                  <c:v>Индекс of ø месечних трошкова за зараде, накнаде зарада и остале исплате запосленима (D11), (ИТР), 2016=100</c:v>
                </c:pt>
              </c:strCache>
            </c:strRef>
          </c:tx>
          <c:spPr>
            <a:ln w="19050" cap="rnd" cmpd="sng" algn="ctr">
              <a:solidFill>
                <a:schemeClr val="accent4"/>
              </a:solidFill>
              <a:prstDash val="solid"/>
              <a:round/>
            </a:ln>
            <a:effectLst/>
          </c:spPr>
          <c:marker>
            <c:symbol val="diamond"/>
            <c:size val="7"/>
            <c:spPr>
              <a:solidFill>
                <a:schemeClr val="accent4"/>
              </a:solidFill>
              <a:ln w="6350" cap="flat" cmpd="sng" algn="ctr">
                <a:solidFill>
                  <a:schemeClr val="accent4"/>
                </a:solidFill>
                <a:prstDash val="solid"/>
                <a:round/>
              </a:ln>
              <a:effectLst/>
            </c:spPr>
          </c:marker>
          <c:cat>
            <c:strRef>
              <c:f>Sheet3!$J$47:$J$66</c:f>
              <c:strCache>
                <c:ptCount val="20"/>
                <c:pt idx="0">
                  <c:v>Укупно</c:v>
                </c:pt>
                <c:pt idx="1">
                  <c:v>Пољопривреда, шумарство и рибарство</c:v>
                </c:pt>
                <c:pt idx="2">
                  <c:v>Рударство</c:v>
                </c:pt>
                <c:pt idx="3">
                  <c:v>Прерађивачка индустрија</c:v>
                </c:pt>
                <c:pt idx="4">
                  <c:v>Снабдевање електричном енергијом, гасом и паром</c:v>
                </c:pt>
                <c:pt idx="5">
                  <c:v>Снабдевање водом и управљање отпадним водама</c:v>
                </c:pt>
                <c:pt idx="6">
                  <c:v>Грађевинарство</c:v>
                </c:pt>
                <c:pt idx="7">
                  <c:v>Трговина на велико и мало и поправка моторних возила</c:v>
                </c:pt>
                <c:pt idx="8">
                  <c:v>Саобраћај и складиштење</c:v>
                </c:pt>
                <c:pt idx="9">
                  <c:v>Услуге смештаја и исхране</c:v>
                </c:pt>
                <c:pt idx="10">
                  <c:v>Информисање и комуникације</c:v>
                </c:pt>
                <c:pt idx="11">
                  <c:v>Финансијске делатности и делатност осигурања</c:v>
                </c:pt>
                <c:pt idx="12">
                  <c:v>Пословање некретнинама</c:v>
                </c:pt>
                <c:pt idx="13">
                  <c:v>Стручне, научне, информационе и техничке делатности</c:v>
                </c:pt>
                <c:pt idx="14">
                  <c:v>Административне и помоћне услужне делатности</c:v>
                </c:pt>
                <c:pt idx="15">
                  <c:v>Државна управа и обавезно социјално осигурање</c:v>
                </c:pt>
                <c:pt idx="16">
                  <c:v>Образовање</c:v>
                </c:pt>
                <c:pt idx="17">
                  <c:v>Здравствена и социјална заштита</c:v>
                </c:pt>
                <c:pt idx="18">
                  <c:v>Уметност; забава и рекреација</c:v>
                </c:pt>
                <c:pt idx="19">
                  <c:v>Остале услужне делатности</c:v>
                </c:pt>
              </c:strCache>
            </c:strRef>
          </c:cat>
          <c:val>
            <c:numRef>
              <c:f>Sheet3!$N$47:$N$66</c:f>
              <c:numCache>
                <c:formatCode>0.0</c:formatCode>
                <c:ptCount val="20"/>
                <c:pt idx="0">
                  <c:v>134.11420002147267</c:v>
                </c:pt>
                <c:pt idx="1">
                  <c:v>127.00125806940218</c:v>
                </c:pt>
                <c:pt idx="2">
                  <c:v>151.5031651656443</c:v>
                </c:pt>
                <c:pt idx="3">
                  <c:v>133.36316474807916</c:v>
                </c:pt>
                <c:pt idx="4">
                  <c:v>150.78620570211868</c:v>
                </c:pt>
                <c:pt idx="5">
                  <c:v>124.86909449605008</c:v>
                </c:pt>
                <c:pt idx="6">
                  <c:v>144.05623978547462</c:v>
                </c:pt>
                <c:pt idx="7">
                  <c:v>126.50960040688561</c:v>
                </c:pt>
                <c:pt idx="8">
                  <c:v>126.03447057542884</c:v>
                </c:pt>
                <c:pt idx="9">
                  <c:v>149.32255685160087</c:v>
                </c:pt>
                <c:pt idx="10">
                  <c:v>166.43251571775829</c:v>
                </c:pt>
                <c:pt idx="11">
                  <c:v>111.90968330533013</c:v>
                </c:pt>
                <c:pt idx="12">
                  <c:v>166.35382605571471</c:v>
                </c:pt>
                <c:pt idx="13">
                  <c:v>112.16831356819227</c:v>
                </c:pt>
                <c:pt idx="14">
                  <c:v>141.49984695975897</c:v>
                </c:pt>
                <c:pt idx="15">
                  <c:v>131.4906962982061</c:v>
                </c:pt>
                <c:pt idx="16">
                  <c:v>145.8264474528192</c:v>
                </c:pt>
                <c:pt idx="17">
                  <c:v>148.92870872657588</c:v>
                </c:pt>
                <c:pt idx="18">
                  <c:v>130.21378513987378</c:v>
                </c:pt>
                <c:pt idx="19">
                  <c:v>128.6482128398813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D16-4FB1-A097-DB60995981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0610816"/>
        <c:axId val="230608896"/>
      </c:lineChart>
      <c:catAx>
        <c:axId val="23060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606720"/>
        <c:crosses val="autoZero"/>
        <c:auto val="0"/>
        <c:lblAlgn val="ctr"/>
        <c:lblOffset val="100"/>
        <c:noMultiLvlLbl val="0"/>
      </c:catAx>
      <c:valAx>
        <c:axId val="230606720"/>
        <c:scaling>
          <c:orientation val="minMax"/>
          <c:max val="25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0" spcFirstLastPara="1" vertOverflow="ellipsis" wrap="square" anchor="t" anchorCtr="0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r-Latn-RS"/>
                  <a:t>RSD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7.91765637371338E-3"/>
              <c:y val="4.99735747317299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t" anchorCtr="0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1"/>
        <c:majorTickMark val="out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604800"/>
        <c:crosses val="autoZero"/>
        <c:crossBetween val="between"/>
      </c:valAx>
      <c:valAx>
        <c:axId val="230608896"/>
        <c:scaling>
          <c:orientation val="minMax"/>
          <c:min val="100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prstDash val="solid"/>
              <a:round/>
            </a:ln>
            <a:effectLst/>
          </c:spPr>
        </c:min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sr-Cyrl-RS"/>
                  <a:t>201</a:t>
                </a:r>
                <a:r>
                  <a:rPr lang="en-US"/>
                  <a:t>6</a:t>
                </a:r>
                <a:r>
                  <a:rPr lang="sr-Cyrl-RS"/>
                  <a:t> =100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66972010253272152"/>
              <c:y val="3.3856300506815346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" sourceLinked="1"/>
        <c:majorTickMark val="in"/>
        <c:minorTickMark val="none"/>
        <c:tickLblPos val="nextTo"/>
        <c:spPr>
          <a:noFill/>
          <a:ln w="6350" cap="flat" cmpd="sng" algn="ctr">
            <a:solidFill>
              <a:schemeClr val="accent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0610816"/>
        <c:crosses val="max"/>
        <c:crossBetween val="between"/>
        <c:majorUnit val="5"/>
        <c:minorUnit val="2"/>
      </c:valAx>
      <c:catAx>
        <c:axId val="2306108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30608896"/>
        <c:crossesAt val="150"/>
        <c:auto val="0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536792467902125"/>
          <c:y val="0.23726640678790892"/>
          <c:w val="0.23248084962588011"/>
          <c:h val="0.582604689206748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55B67-C27E-46A4-85F4-3D5D6442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Smiljkovic</dc:creator>
  <cp:keywords/>
  <dc:description/>
  <cp:lastModifiedBy>Milijana Smiljkovic</cp:lastModifiedBy>
  <cp:revision>38</cp:revision>
  <dcterms:created xsi:type="dcterms:W3CDTF">2022-06-07T08:49:00Z</dcterms:created>
  <dcterms:modified xsi:type="dcterms:W3CDTF">2022-07-20T07:56:00Z</dcterms:modified>
</cp:coreProperties>
</file>