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38AA" w14:textId="5D1FBC32" w:rsidR="005D294A" w:rsidRDefault="009B6705" w:rsidP="00CF70F0">
      <w:pPr>
        <w:rPr>
          <w:rFonts w:ascii="Arial" w:hAnsi="Arial" w:cs="Arial"/>
          <w:b/>
        </w:rPr>
      </w:pPr>
      <w:r w:rsidRPr="006D20B3">
        <w:rPr>
          <w:rFonts w:ascii="Arial" w:hAnsi="Arial" w:cs="Arial"/>
          <w:b/>
        </w:rPr>
        <w:t xml:space="preserve">Кохерентност са просечним зарадама из </w:t>
      </w:r>
      <w:r w:rsidR="005965AE" w:rsidRPr="006D20B3">
        <w:rPr>
          <w:rFonts w:ascii="Arial" w:hAnsi="Arial" w:cs="Arial"/>
          <w:b/>
        </w:rPr>
        <w:t xml:space="preserve">истраживања </w:t>
      </w:r>
      <w:r w:rsidRPr="006D20B3">
        <w:rPr>
          <w:rFonts w:ascii="Arial" w:hAnsi="Arial" w:cs="Arial"/>
          <w:b/>
        </w:rPr>
        <w:t>РАД</w:t>
      </w:r>
      <w:r w:rsidR="00810769" w:rsidRPr="006D20B3">
        <w:rPr>
          <w:rFonts w:ascii="Arial" w:hAnsi="Arial" w:cs="Arial"/>
          <w:b/>
        </w:rPr>
        <w:t>-1</w:t>
      </w:r>
      <w:r w:rsidRPr="006D20B3">
        <w:rPr>
          <w:rFonts w:ascii="Arial" w:hAnsi="Arial" w:cs="Arial"/>
          <w:b/>
        </w:rPr>
        <w:t xml:space="preserve"> </w:t>
      </w:r>
    </w:p>
    <w:p w14:paraId="1C0D80B9" w14:textId="77777777" w:rsidR="009201A7" w:rsidRPr="007009F2" w:rsidRDefault="009201A7" w:rsidP="00642CD2">
      <w:pPr>
        <w:ind w:firstLine="720"/>
        <w:rPr>
          <w:rFonts w:ascii="Arial" w:hAnsi="Arial" w:cs="Arial"/>
          <w:b/>
          <w:sz w:val="20"/>
          <w:szCs w:val="20"/>
        </w:rPr>
      </w:pPr>
    </w:p>
    <w:p w14:paraId="21AEA215" w14:textId="2F66BC57" w:rsidR="009B6705" w:rsidRPr="007009F2" w:rsidRDefault="009B6705" w:rsidP="00F741C1">
      <w:pPr>
        <w:jc w:val="both"/>
        <w:rPr>
          <w:rFonts w:ascii="Arial" w:hAnsi="Arial" w:cs="Arial"/>
          <w:color w:val="222222"/>
          <w:sz w:val="20"/>
          <w:szCs w:val="20"/>
          <w:shd w:val="clear" w:color="auto" w:fill="FFFFFF"/>
        </w:rPr>
      </w:pPr>
      <w:r w:rsidRPr="007009F2">
        <w:rPr>
          <w:rFonts w:ascii="Arial" w:hAnsi="Arial" w:cs="Arial"/>
          <w:color w:val="222222"/>
          <w:sz w:val="20"/>
          <w:szCs w:val="20"/>
          <w:shd w:val="clear" w:color="auto" w:fill="FFFFFF"/>
        </w:rPr>
        <w:t>Разлике између варијабле D</w:t>
      </w:r>
      <w:r w:rsidR="00096AD5">
        <w:rPr>
          <w:rFonts w:ascii="Arial" w:hAnsi="Arial" w:cs="Arial"/>
          <w:color w:val="222222"/>
          <w:sz w:val="20"/>
          <w:szCs w:val="20"/>
          <w:shd w:val="clear" w:color="auto" w:fill="FFFFFF"/>
        </w:rPr>
        <w:t>11 ‒</w:t>
      </w:r>
      <w:r w:rsidRPr="007009F2">
        <w:rPr>
          <w:rFonts w:ascii="Arial" w:hAnsi="Arial" w:cs="Arial"/>
          <w:color w:val="222222"/>
          <w:sz w:val="20"/>
          <w:szCs w:val="20"/>
          <w:shd w:val="clear" w:color="auto" w:fill="FFFFFF"/>
        </w:rPr>
        <w:t xml:space="preserve"> Трошкови за зараде, накнаде зарада и остале исплате запосленима</w:t>
      </w:r>
      <w:r w:rsidR="005965AE">
        <w:rPr>
          <w:rFonts w:ascii="Arial" w:hAnsi="Arial" w:cs="Arial"/>
          <w:color w:val="222222"/>
          <w:sz w:val="20"/>
          <w:szCs w:val="20"/>
          <w:shd w:val="clear" w:color="auto" w:fill="FFFFFF"/>
        </w:rPr>
        <w:t>,</w:t>
      </w:r>
      <w:r w:rsidRPr="007009F2">
        <w:rPr>
          <w:rFonts w:ascii="Arial" w:hAnsi="Arial" w:cs="Arial"/>
          <w:color w:val="222222"/>
          <w:sz w:val="20"/>
          <w:szCs w:val="20"/>
          <w:shd w:val="clear" w:color="auto" w:fill="FFFFFF"/>
        </w:rPr>
        <w:t xml:space="preserve"> </w:t>
      </w:r>
      <w:r w:rsidRPr="005965AE">
        <w:rPr>
          <w:rFonts w:ascii="Arial" w:hAnsi="Arial" w:cs="Arial"/>
          <w:color w:val="222222"/>
          <w:sz w:val="20"/>
          <w:szCs w:val="20"/>
          <w:shd w:val="clear" w:color="auto" w:fill="FFFFFF"/>
        </w:rPr>
        <w:t>и бруто зарада из</w:t>
      </w:r>
      <w:r w:rsidR="005965AE" w:rsidRPr="005965AE">
        <w:rPr>
          <w:rFonts w:ascii="Arial" w:hAnsi="Arial" w:cs="Arial"/>
          <w:color w:val="222222"/>
          <w:sz w:val="20"/>
          <w:szCs w:val="20"/>
          <w:shd w:val="clear" w:color="auto" w:fill="FFFFFF"/>
        </w:rPr>
        <w:t xml:space="preserve"> истраживања</w:t>
      </w:r>
      <w:r w:rsidRPr="005965AE">
        <w:rPr>
          <w:rFonts w:ascii="Arial" w:hAnsi="Arial" w:cs="Arial"/>
          <w:color w:val="222222"/>
          <w:sz w:val="20"/>
          <w:szCs w:val="20"/>
          <w:shd w:val="clear" w:color="auto" w:fill="FFFFFF"/>
        </w:rPr>
        <w:t xml:space="preserve"> РАД</w:t>
      </w:r>
      <w:r w:rsidR="00810769" w:rsidRPr="005965AE">
        <w:rPr>
          <w:rFonts w:ascii="Arial" w:hAnsi="Arial" w:cs="Arial"/>
          <w:color w:val="222222"/>
          <w:sz w:val="20"/>
          <w:szCs w:val="20"/>
          <w:shd w:val="clear" w:color="auto" w:fill="FFFFFF"/>
        </w:rPr>
        <w:t>-1</w:t>
      </w:r>
      <w:r w:rsidRPr="005965AE">
        <w:rPr>
          <w:rFonts w:ascii="Arial" w:hAnsi="Arial" w:cs="Arial"/>
          <w:color w:val="222222"/>
          <w:sz w:val="20"/>
          <w:szCs w:val="20"/>
          <w:shd w:val="clear" w:color="auto" w:fill="FFFFFF"/>
        </w:rPr>
        <w:t xml:space="preserve"> могу </w:t>
      </w:r>
      <w:r w:rsidR="00FC66D8" w:rsidRPr="005965AE">
        <w:rPr>
          <w:rFonts w:ascii="Arial" w:hAnsi="Arial" w:cs="Arial"/>
          <w:color w:val="222222"/>
          <w:sz w:val="20"/>
          <w:szCs w:val="20"/>
          <w:shd w:val="clear" w:color="auto" w:fill="FFFFFF"/>
        </w:rPr>
        <w:t>се</w:t>
      </w:r>
      <w:r w:rsidR="00FC66D8" w:rsidRPr="007009F2">
        <w:rPr>
          <w:rFonts w:ascii="Arial" w:hAnsi="Arial" w:cs="Arial"/>
          <w:color w:val="222222"/>
          <w:sz w:val="20"/>
          <w:szCs w:val="20"/>
          <w:shd w:val="clear" w:color="auto" w:fill="FFFFFF"/>
        </w:rPr>
        <w:t xml:space="preserve"> </w:t>
      </w:r>
      <w:r w:rsidRPr="007009F2">
        <w:rPr>
          <w:rFonts w:ascii="Arial" w:hAnsi="Arial" w:cs="Arial"/>
          <w:color w:val="222222"/>
          <w:sz w:val="20"/>
          <w:szCs w:val="20"/>
          <w:shd w:val="clear" w:color="auto" w:fill="FFFFFF"/>
        </w:rPr>
        <w:t>објаснити разликама у методологији</w:t>
      </w:r>
      <w:r w:rsidR="00FC66D8" w:rsidRPr="007009F2">
        <w:rPr>
          <w:rFonts w:ascii="Arial" w:hAnsi="Arial" w:cs="Arial"/>
          <w:color w:val="222222"/>
          <w:sz w:val="20"/>
          <w:szCs w:val="20"/>
          <w:shd w:val="clear" w:color="auto" w:fill="FFFFFF"/>
        </w:rPr>
        <w:t>,</w:t>
      </w:r>
      <w:r w:rsidRPr="007009F2">
        <w:rPr>
          <w:rFonts w:ascii="Arial" w:hAnsi="Arial" w:cs="Arial"/>
          <w:color w:val="222222"/>
          <w:sz w:val="20"/>
          <w:szCs w:val="20"/>
          <w:shd w:val="clear" w:color="auto" w:fill="FFFFFF"/>
        </w:rPr>
        <w:t xml:space="preserve"> тј. дефиницији и обухвату. </w:t>
      </w:r>
    </w:p>
    <w:p w14:paraId="438CCEAE" w14:textId="412AD2A6" w:rsidR="006A4DC0" w:rsidRPr="007009F2" w:rsidRDefault="00096AD5" w:rsidP="009E40CE">
      <w:pPr>
        <w:pStyle w:val="Pasus"/>
        <w:numPr>
          <w:ilvl w:val="0"/>
          <w:numId w:val="1"/>
        </w:numPr>
        <w:ind w:left="360"/>
        <w:rPr>
          <w:lang w:val="ru-RU"/>
        </w:rPr>
      </w:pPr>
      <w:r>
        <w:rPr>
          <w:b/>
          <w:color w:val="222222"/>
          <w:shd w:val="clear" w:color="auto" w:fill="FFFFFF"/>
          <w:lang w:val="sr-Cyrl-RS"/>
        </w:rPr>
        <w:t>Дефиниција запослених</w:t>
      </w:r>
      <w:r w:rsidR="005074E5" w:rsidRPr="007009F2">
        <w:rPr>
          <w:b/>
          <w:color w:val="222222"/>
          <w:shd w:val="clear" w:color="auto" w:fill="FFFFFF"/>
          <w:lang w:val="sr-Cyrl-RS"/>
        </w:rPr>
        <w:t xml:space="preserve"> </w:t>
      </w:r>
    </w:p>
    <w:p w14:paraId="0BE1B4E4" w14:textId="242A6F2F" w:rsidR="006A4DC0" w:rsidRPr="007009F2" w:rsidRDefault="005074E5" w:rsidP="009E40CE">
      <w:pPr>
        <w:pStyle w:val="Pasus"/>
        <w:numPr>
          <w:ilvl w:val="1"/>
          <w:numId w:val="1"/>
        </w:numPr>
        <w:ind w:left="1080"/>
        <w:rPr>
          <w:lang w:val="ru-RU"/>
        </w:rPr>
      </w:pPr>
      <w:r w:rsidRPr="007009F2">
        <w:rPr>
          <w:color w:val="222222"/>
          <w:shd w:val="clear" w:color="auto" w:fill="FFFFFF"/>
          <w:lang w:val="sr-Cyrl-RS"/>
        </w:rPr>
        <w:t xml:space="preserve">У </w:t>
      </w:r>
      <w:r w:rsidR="00096AD5" w:rsidRPr="007009F2">
        <w:rPr>
          <w:color w:val="222222"/>
          <w:shd w:val="clear" w:color="auto" w:fill="FFFFFF"/>
          <w:lang w:val="sr-Cyrl-RS"/>
        </w:rPr>
        <w:t xml:space="preserve">истраживању </w:t>
      </w:r>
      <w:r w:rsidRPr="007009F2">
        <w:rPr>
          <w:color w:val="222222"/>
          <w:shd w:val="clear" w:color="auto" w:fill="FFFFFF"/>
          <w:lang w:val="sr-Cyrl-RS"/>
        </w:rPr>
        <w:t xml:space="preserve">РАД-1 под појмом запослени подразумевају се лица која имају заснован радни однос са послодавцем  на одређено или неодређено време, без обзира на то да ли раде пуно радно време или краће од њега. Не сматрају се запосленим лица која раде на основу уговора о делу или на основу уговора о обављању привремених и повремених послова. </w:t>
      </w:r>
    </w:p>
    <w:p w14:paraId="6CE553D6" w14:textId="77777777" w:rsidR="005074E5" w:rsidRPr="007009F2" w:rsidRDefault="005074E5" w:rsidP="009E40CE">
      <w:pPr>
        <w:pStyle w:val="Pasus"/>
        <w:numPr>
          <w:ilvl w:val="1"/>
          <w:numId w:val="1"/>
        </w:numPr>
        <w:ind w:left="1080"/>
        <w:rPr>
          <w:lang w:val="ru-RU"/>
        </w:rPr>
      </w:pPr>
      <w:r w:rsidRPr="005965AE">
        <w:rPr>
          <w:color w:val="222222"/>
          <w:shd w:val="clear" w:color="auto" w:fill="FFFFFF"/>
          <w:lang w:val="sr-Cyrl-RS"/>
        </w:rPr>
        <w:t>У ИТР под појмом запослени сматрају се и лица која раде на основу уговора о обављању привремених</w:t>
      </w:r>
      <w:r w:rsidRPr="007009F2">
        <w:rPr>
          <w:color w:val="222222"/>
          <w:shd w:val="clear" w:color="auto" w:fill="FFFFFF"/>
          <w:lang w:val="sr-Cyrl-RS"/>
        </w:rPr>
        <w:t xml:space="preserve"> и повремених послова.</w:t>
      </w:r>
    </w:p>
    <w:p w14:paraId="34CE1DBF" w14:textId="77777777" w:rsidR="005074E5" w:rsidRPr="007009F2" w:rsidRDefault="005074E5" w:rsidP="005074E5">
      <w:pPr>
        <w:pStyle w:val="ListParagraph"/>
        <w:ind w:left="1211"/>
        <w:rPr>
          <w:rFonts w:ascii="Arial" w:hAnsi="Arial" w:cs="Arial"/>
          <w:b/>
          <w:color w:val="222222"/>
          <w:sz w:val="20"/>
          <w:szCs w:val="20"/>
          <w:shd w:val="clear" w:color="auto" w:fill="FFFFFF"/>
        </w:rPr>
      </w:pPr>
    </w:p>
    <w:p w14:paraId="6257FC88" w14:textId="22E0087E" w:rsidR="006A4DC0" w:rsidRPr="007009F2" w:rsidRDefault="00380127" w:rsidP="009E40CE">
      <w:pPr>
        <w:pStyle w:val="Pasus"/>
        <w:numPr>
          <w:ilvl w:val="0"/>
          <w:numId w:val="1"/>
        </w:numPr>
        <w:ind w:left="270"/>
        <w:rPr>
          <w:color w:val="222222"/>
          <w:shd w:val="clear" w:color="auto" w:fill="FFFFFF"/>
          <w:lang w:val="sr-Cyrl-RS"/>
        </w:rPr>
      </w:pPr>
      <w:r w:rsidRPr="007009F2">
        <w:rPr>
          <w:b/>
          <w:color w:val="222222"/>
          <w:shd w:val="clear" w:color="auto" w:fill="FFFFFF"/>
          <w:lang w:val="sr-Cyrl-RS"/>
        </w:rPr>
        <w:t>Дефиниције варијабли</w:t>
      </w:r>
      <w:r w:rsidR="004048E9" w:rsidRPr="007009F2">
        <w:rPr>
          <w:b/>
          <w:color w:val="222222"/>
          <w:shd w:val="clear" w:color="auto" w:fill="FFFFFF"/>
          <w:lang w:val="sr-Cyrl-RS"/>
        </w:rPr>
        <w:t xml:space="preserve"> које се пореде</w:t>
      </w:r>
      <w:r w:rsidR="00E54B40" w:rsidRPr="007009F2">
        <w:rPr>
          <w:rFonts w:ascii="Arial IS" w:hAnsi="Arial IS" w:cs="Arial IS"/>
          <w:bCs/>
          <w:i/>
          <w:iCs/>
          <w:lang w:val="ru-RU"/>
        </w:rPr>
        <w:t xml:space="preserve"> </w:t>
      </w:r>
    </w:p>
    <w:p w14:paraId="647FC692" w14:textId="54A1F82B" w:rsidR="006A4DC0" w:rsidRPr="007009F2" w:rsidRDefault="00E54B40" w:rsidP="009E40CE">
      <w:pPr>
        <w:pStyle w:val="Pasus"/>
        <w:numPr>
          <w:ilvl w:val="1"/>
          <w:numId w:val="1"/>
        </w:numPr>
        <w:ind w:left="1080"/>
        <w:rPr>
          <w:color w:val="222222"/>
          <w:shd w:val="clear" w:color="auto" w:fill="FFFFFF"/>
          <w:lang w:val="sr-Cyrl-RS"/>
        </w:rPr>
      </w:pPr>
      <w:r w:rsidRPr="007009F2">
        <w:rPr>
          <w:rFonts w:eastAsiaTheme="minorHAnsi"/>
          <w:color w:val="222222"/>
          <w:shd w:val="clear" w:color="auto" w:fill="FFFFFF"/>
          <w:lang w:val="sr-Cyrl-RS"/>
        </w:rPr>
        <w:t xml:space="preserve">У </w:t>
      </w:r>
      <w:r w:rsidR="00096AD5" w:rsidRPr="007009F2">
        <w:rPr>
          <w:color w:val="222222"/>
          <w:shd w:val="clear" w:color="auto" w:fill="FFFFFF"/>
        </w:rPr>
        <w:t xml:space="preserve">истраживању </w:t>
      </w:r>
      <w:r w:rsidRPr="007009F2">
        <w:rPr>
          <w:color w:val="222222"/>
          <w:shd w:val="clear" w:color="auto" w:fill="FFFFFF"/>
        </w:rPr>
        <w:t>РАД-1 зараду, у смислу члана 105 Закона о раду</w:t>
      </w:r>
      <w:r w:rsidR="00FC66D8" w:rsidRPr="007009F2">
        <w:rPr>
          <w:color w:val="222222"/>
          <w:shd w:val="clear" w:color="auto" w:fill="FFFFFF"/>
          <w:lang w:val="sr-Cyrl-RS"/>
        </w:rPr>
        <w:t>,</w:t>
      </w:r>
      <w:r w:rsidRPr="007009F2">
        <w:rPr>
          <w:color w:val="222222"/>
          <w:shd w:val="clear" w:color="auto" w:fill="FFFFFF"/>
        </w:rPr>
        <w:t xml:space="preserve"> чини зарада која садржи порез и доприносе који се плаћају из зараде коју је запослени остварио за обављени рад и за време проведено на раду, затим увећана зарада, накнада зараде и друга примања (осим: накнаде трошкова за долазак и одлазак са посла, за време проведено на службеном путу у земљи и иностранству, отпремнине при одласку у пензију, солидарне помоћи, јубиларне награде, накнаде трошкова погребних услуга и накнаде штете због повреде на раду или професионалног обољења).</w:t>
      </w:r>
    </w:p>
    <w:p w14:paraId="14F1AEBA" w14:textId="79B4D2AB" w:rsidR="00E54B40" w:rsidRPr="007009F2" w:rsidRDefault="009F15DC" w:rsidP="009E40CE">
      <w:pPr>
        <w:pStyle w:val="Pasus"/>
        <w:numPr>
          <w:ilvl w:val="1"/>
          <w:numId w:val="1"/>
        </w:numPr>
        <w:ind w:left="1080"/>
        <w:rPr>
          <w:color w:val="222222"/>
          <w:shd w:val="clear" w:color="auto" w:fill="FFFFFF"/>
          <w:lang w:val="sr-Cyrl-RS"/>
        </w:rPr>
      </w:pPr>
      <w:r w:rsidRPr="007009F2">
        <w:rPr>
          <w:color w:val="222222"/>
          <w:shd w:val="clear" w:color="auto" w:fill="FFFFFF"/>
        </w:rPr>
        <w:t xml:space="preserve"> Трошкови за зараде, накнаде зарада и остале исплате запосленима</w:t>
      </w:r>
      <w:r w:rsidR="00A80F50">
        <w:rPr>
          <w:color w:val="222222"/>
          <w:shd w:val="clear" w:color="auto" w:fill="FFFFFF"/>
          <w:lang w:val="sr-Cyrl-RS"/>
        </w:rPr>
        <w:t xml:space="preserve"> </w:t>
      </w:r>
      <w:r w:rsidR="00C67CA9" w:rsidRPr="007009F2">
        <w:rPr>
          <w:color w:val="222222"/>
          <w:shd w:val="clear" w:color="auto" w:fill="FFFFFF"/>
          <w:lang w:val="sr-Cyrl-RS"/>
        </w:rPr>
        <w:t>(</w:t>
      </w:r>
      <w:r w:rsidR="00C67CA9" w:rsidRPr="007009F2">
        <w:rPr>
          <w:color w:val="222222"/>
          <w:shd w:val="clear" w:color="auto" w:fill="FFFFFF"/>
        </w:rPr>
        <w:t>D</w:t>
      </w:r>
      <w:r w:rsidRPr="007009F2">
        <w:rPr>
          <w:color w:val="222222"/>
          <w:shd w:val="clear" w:color="auto" w:fill="FFFFFF"/>
          <w:lang w:val="sr-Cyrl-RS"/>
        </w:rPr>
        <w:t>11) подразумевају ширу дефиницију и</w:t>
      </w:r>
      <w:r w:rsidR="001A0905" w:rsidRPr="007009F2">
        <w:rPr>
          <w:color w:val="222222"/>
          <w:shd w:val="clear" w:color="auto" w:fill="FFFFFF"/>
          <w:lang w:val="sr-Cyrl-RS"/>
        </w:rPr>
        <w:t>,</w:t>
      </w:r>
      <w:r w:rsidR="00C67CA9" w:rsidRPr="007009F2">
        <w:rPr>
          <w:color w:val="222222"/>
          <w:shd w:val="clear" w:color="auto" w:fill="FFFFFF"/>
          <w:lang w:val="sr-Cyrl-RS"/>
        </w:rPr>
        <w:t xml:space="preserve"> за раз</w:t>
      </w:r>
      <w:r w:rsidRPr="007009F2">
        <w:rPr>
          <w:color w:val="222222"/>
          <w:shd w:val="clear" w:color="auto" w:fill="FFFFFF"/>
          <w:lang w:val="sr-Cyrl-RS"/>
        </w:rPr>
        <w:t xml:space="preserve">лику од зараде дефинисане </w:t>
      </w:r>
      <w:r w:rsidR="009F3B82" w:rsidRPr="007009F2">
        <w:rPr>
          <w:color w:val="222222"/>
          <w:shd w:val="clear" w:color="auto" w:fill="FFFFFF"/>
          <w:lang w:val="sr-Cyrl-RS"/>
        </w:rPr>
        <w:t xml:space="preserve">истраживањем </w:t>
      </w:r>
      <w:r w:rsidRPr="007009F2">
        <w:rPr>
          <w:color w:val="222222"/>
          <w:shd w:val="clear" w:color="auto" w:fill="FFFFFF"/>
          <w:lang w:val="sr-Cyrl-RS"/>
        </w:rPr>
        <w:t>РАД-1</w:t>
      </w:r>
      <w:r w:rsidR="001A0905" w:rsidRPr="007009F2">
        <w:rPr>
          <w:color w:val="222222"/>
          <w:shd w:val="clear" w:color="auto" w:fill="FFFFFF"/>
          <w:lang w:val="sr-Cyrl-RS"/>
        </w:rPr>
        <w:t>,</w:t>
      </w:r>
      <w:r w:rsidRPr="007009F2">
        <w:rPr>
          <w:color w:val="222222"/>
          <w:shd w:val="clear" w:color="auto" w:fill="FFFFFF"/>
          <w:lang w:val="sr-Cyrl-RS"/>
        </w:rPr>
        <w:t xml:space="preserve"> обухватају </w:t>
      </w:r>
      <w:r w:rsidR="00C67CA9" w:rsidRPr="007009F2">
        <w:rPr>
          <w:color w:val="222222"/>
          <w:shd w:val="clear" w:color="auto" w:fill="FFFFFF"/>
          <w:lang w:val="sr-Cyrl-RS"/>
        </w:rPr>
        <w:t>и</w:t>
      </w:r>
      <w:r w:rsidRPr="007009F2">
        <w:rPr>
          <w:color w:val="222222"/>
          <w:shd w:val="clear" w:color="auto" w:fill="FFFFFF"/>
          <w:lang w:val="sr-Cyrl-RS"/>
        </w:rPr>
        <w:t xml:space="preserve"> </w:t>
      </w:r>
      <w:r w:rsidR="00C67CA9" w:rsidRPr="007009F2">
        <w:rPr>
          <w:color w:val="222222"/>
          <w:shd w:val="clear" w:color="auto" w:fill="FFFFFF"/>
        </w:rPr>
        <w:t>накнаде трошкова запосленима за превоз на посао и са посла у висини цене превозне карте у јавном саобраћају</w:t>
      </w:r>
      <w:r w:rsidR="00A27C71" w:rsidRPr="007009F2">
        <w:rPr>
          <w:color w:val="222222"/>
          <w:shd w:val="clear" w:color="auto" w:fill="FFFFFF"/>
          <w:lang w:val="sr-Cyrl-RS"/>
        </w:rPr>
        <w:t xml:space="preserve">, </w:t>
      </w:r>
      <w:r w:rsidR="00C67CA9" w:rsidRPr="007009F2">
        <w:rPr>
          <w:color w:val="222222"/>
          <w:shd w:val="clear" w:color="auto" w:fill="FFFFFF"/>
          <w:lang w:val="sr-Cyrl-RS"/>
        </w:rPr>
        <w:t>јубиларне награде</w:t>
      </w:r>
      <w:r w:rsidR="000E3980" w:rsidRPr="007009F2">
        <w:rPr>
          <w:color w:val="222222"/>
          <w:shd w:val="clear" w:color="auto" w:fill="FFFFFF"/>
          <w:lang w:val="sr-Cyrl-RS"/>
        </w:rPr>
        <w:t xml:space="preserve">, </w:t>
      </w:r>
      <w:r w:rsidR="00C67CA9" w:rsidRPr="007009F2">
        <w:rPr>
          <w:color w:val="222222"/>
          <w:shd w:val="clear" w:color="auto" w:fill="FFFFFF"/>
        </w:rPr>
        <w:t>теренски додатак и накнаду за одвојен живот, испл</w:t>
      </w:r>
      <w:r w:rsidR="00C67CA9" w:rsidRPr="007009F2">
        <w:rPr>
          <w:color w:val="222222"/>
          <w:shd w:val="clear" w:color="auto" w:fill="FFFFFF"/>
          <w:lang w:val="sr-Cyrl-RS"/>
        </w:rPr>
        <w:t>а</w:t>
      </w:r>
      <w:r w:rsidR="00C67CA9" w:rsidRPr="007009F2">
        <w:rPr>
          <w:color w:val="222222"/>
          <w:shd w:val="clear" w:color="auto" w:fill="FFFFFF"/>
        </w:rPr>
        <w:t>те запосленима у хартијама од вредности, исплате запосленима у натури и остала давања запосленима која се не сматрају зарадом</w:t>
      </w:r>
      <w:r w:rsidR="004D2C10" w:rsidRPr="007009F2">
        <w:rPr>
          <w:color w:val="222222"/>
          <w:shd w:val="clear" w:color="auto" w:fill="FFFFFF"/>
          <w:lang w:val="sr-Cyrl-RS"/>
        </w:rPr>
        <w:t>,</w:t>
      </w:r>
      <w:r w:rsidR="00C67CA9" w:rsidRPr="007009F2">
        <w:rPr>
          <w:color w:val="222222"/>
          <w:shd w:val="clear" w:color="auto" w:fill="FFFFFF"/>
        </w:rPr>
        <w:t xml:space="preserve"> као што су давања запосленима за поклоне деци запосленог (старости до 15 година живота за Божић и Нову годину) у вредности до неопорезивог износа</w:t>
      </w:r>
      <w:r w:rsidR="005965AE" w:rsidRPr="005965AE">
        <w:rPr>
          <w:color w:val="222222"/>
          <w:shd w:val="clear" w:color="auto" w:fill="FFFFFF"/>
          <w:lang w:val="sr-Cyrl-RS"/>
        </w:rPr>
        <w:t>,</w:t>
      </w:r>
      <w:r w:rsidR="00C67CA9" w:rsidRPr="005965AE">
        <w:rPr>
          <w:color w:val="222222"/>
          <w:shd w:val="clear" w:color="auto" w:fill="FFFFFF"/>
        </w:rPr>
        <w:t xml:space="preserve"> која су изузета</w:t>
      </w:r>
      <w:r w:rsidR="00C67CA9" w:rsidRPr="007009F2">
        <w:rPr>
          <w:color w:val="222222"/>
          <w:shd w:val="clear" w:color="auto" w:fill="FFFFFF"/>
        </w:rPr>
        <w:t xml:space="preserve"> из зараде (поклони поводом 8. марта и других празника, давања поклона деци преко 15 година старости и др.)</w:t>
      </w:r>
      <w:r w:rsidR="005965AE">
        <w:rPr>
          <w:color w:val="222222"/>
          <w:shd w:val="clear" w:color="auto" w:fill="FFFFFF"/>
          <w:lang w:val="sr-Cyrl-RS"/>
        </w:rPr>
        <w:t>,</w:t>
      </w:r>
      <w:r w:rsidR="00C67CA9" w:rsidRPr="007009F2">
        <w:rPr>
          <w:color w:val="222222"/>
          <w:shd w:val="clear" w:color="auto" w:fill="FFFFFF"/>
        </w:rPr>
        <w:t xml:space="preserve"> и све друге накнаде трошкова који су изузети из зараде.</w:t>
      </w:r>
      <w:r w:rsidR="004048E9" w:rsidRPr="007009F2">
        <w:rPr>
          <w:color w:val="222222"/>
          <w:shd w:val="clear" w:color="auto" w:fill="FFFFFF"/>
          <w:lang w:val="sr-Cyrl-RS"/>
        </w:rPr>
        <w:t xml:space="preserve"> Поред тога, имајући у виду и различиту дефиницију запослених, обухваћене су и накнаде зарада за обављање привремених и повремених послова.</w:t>
      </w:r>
      <w:r w:rsidR="000E3980" w:rsidRPr="007009F2">
        <w:rPr>
          <w:color w:val="222222"/>
          <w:shd w:val="clear" w:color="auto" w:fill="FFFFFF"/>
          <w:lang w:val="sr-Cyrl-RS"/>
        </w:rPr>
        <w:t xml:space="preserve"> </w:t>
      </w:r>
      <w:r w:rsidR="004048E9" w:rsidRPr="007009F2">
        <w:rPr>
          <w:color w:val="222222"/>
          <w:shd w:val="clear" w:color="auto" w:fill="FFFFFF"/>
          <w:lang w:val="sr-Cyrl-RS"/>
        </w:rPr>
        <w:t>С друге стране, накна</w:t>
      </w:r>
      <w:r w:rsidR="008D6BB7">
        <w:rPr>
          <w:color w:val="222222"/>
          <w:shd w:val="clear" w:color="auto" w:fill="FFFFFF"/>
          <w:lang w:val="sr-Cyrl-RS"/>
        </w:rPr>
        <w:t>да зараде</w:t>
      </w:r>
      <w:r w:rsidR="004048E9" w:rsidRPr="007009F2">
        <w:rPr>
          <w:color w:val="222222"/>
          <w:shd w:val="clear" w:color="auto" w:fill="FFFFFF"/>
          <w:lang w:val="sr-Cyrl-RS"/>
        </w:rPr>
        <w:t xml:space="preserve"> за боловање до</w:t>
      </w:r>
      <w:r w:rsidR="00F741C1" w:rsidRPr="007009F2">
        <w:rPr>
          <w:color w:val="222222"/>
          <w:shd w:val="clear" w:color="auto" w:fill="FFFFFF"/>
          <w:lang w:val="sr-Cyrl-RS"/>
        </w:rPr>
        <w:t xml:space="preserve"> 30 дана, која је укључена у зарад</w:t>
      </w:r>
      <w:r w:rsidR="004048E9" w:rsidRPr="007009F2">
        <w:rPr>
          <w:color w:val="222222"/>
          <w:shd w:val="clear" w:color="auto" w:fill="FFFFFF"/>
          <w:lang w:val="sr-Cyrl-RS"/>
        </w:rPr>
        <w:t xml:space="preserve">у у </w:t>
      </w:r>
      <w:r w:rsidR="000444E8" w:rsidRPr="007009F2">
        <w:rPr>
          <w:color w:val="222222"/>
          <w:shd w:val="clear" w:color="auto" w:fill="FFFFFF"/>
          <w:lang w:val="sr-Cyrl-RS"/>
        </w:rPr>
        <w:t xml:space="preserve">истраживању </w:t>
      </w:r>
      <w:r w:rsidR="004048E9" w:rsidRPr="007009F2">
        <w:rPr>
          <w:color w:val="222222"/>
          <w:shd w:val="clear" w:color="auto" w:fill="FFFFFF"/>
          <w:lang w:val="sr-Cyrl-RS"/>
        </w:rPr>
        <w:t xml:space="preserve">РАД-1, </w:t>
      </w:r>
      <w:r w:rsidR="004048E9" w:rsidRPr="005965AE">
        <w:rPr>
          <w:color w:val="222222"/>
          <w:shd w:val="clear" w:color="auto" w:fill="FFFFFF"/>
          <w:lang w:val="sr-Cyrl-RS"/>
        </w:rPr>
        <w:t>у ИТР се сматра</w:t>
      </w:r>
      <w:r w:rsidR="004048E9" w:rsidRPr="007009F2">
        <w:rPr>
          <w:color w:val="222222"/>
          <w:shd w:val="clear" w:color="auto" w:fill="FFFFFF"/>
          <w:lang w:val="sr-Cyrl-RS"/>
        </w:rPr>
        <w:t xml:space="preserve"> </w:t>
      </w:r>
      <w:r w:rsidR="004048E9" w:rsidRPr="007009F2">
        <w:rPr>
          <w:bCs/>
          <w:color w:val="222222"/>
          <w:lang w:val="sr-Cyrl-RS"/>
        </w:rPr>
        <w:t>трошкови</w:t>
      </w:r>
      <w:r w:rsidR="004048E9" w:rsidRPr="007009F2">
        <w:rPr>
          <w:bCs/>
          <w:color w:val="222222"/>
        </w:rPr>
        <w:t>ма</w:t>
      </w:r>
      <w:r w:rsidR="004048E9" w:rsidRPr="007009F2">
        <w:rPr>
          <w:bCs/>
          <w:color w:val="222222"/>
          <w:lang w:val="sr-Cyrl-RS"/>
        </w:rPr>
        <w:t xml:space="preserve"> социјалних давања</w:t>
      </w:r>
      <w:r w:rsidR="004048E9" w:rsidRPr="007009F2">
        <w:rPr>
          <w:bCs/>
          <w:color w:val="222222"/>
        </w:rPr>
        <w:t xml:space="preserve"> (</w:t>
      </w:r>
      <w:r w:rsidR="008D6BB7">
        <w:rPr>
          <w:bCs/>
          <w:color w:val="222222"/>
          <w:lang w:val="sr-Cyrl-RS"/>
        </w:rPr>
        <w:t>D</w:t>
      </w:r>
      <w:r w:rsidR="004048E9" w:rsidRPr="007009F2">
        <w:rPr>
          <w:bCs/>
          <w:color w:val="222222"/>
          <w:lang w:val="sr-Cyrl-RS"/>
        </w:rPr>
        <w:t>122</w:t>
      </w:r>
      <w:r w:rsidR="004048E9" w:rsidRPr="007009F2">
        <w:rPr>
          <w:bCs/>
          <w:color w:val="222222"/>
        </w:rPr>
        <w:t>)</w:t>
      </w:r>
      <w:r w:rsidR="004048E9" w:rsidRPr="007009F2">
        <w:rPr>
          <w:bCs/>
          <w:color w:val="222222"/>
          <w:lang w:val="sr-Cyrl-RS"/>
        </w:rPr>
        <w:t>.</w:t>
      </w:r>
    </w:p>
    <w:p w14:paraId="16C8C753" w14:textId="77777777" w:rsidR="00E54B40" w:rsidRPr="007009F2" w:rsidRDefault="00E54B40" w:rsidP="005074E5">
      <w:pPr>
        <w:pStyle w:val="ListParagraph"/>
        <w:ind w:left="1211"/>
        <w:rPr>
          <w:rFonts w:ascii="Arial" w:hAnsi="Arial" w:cs="Arial"/>
          <w:b/>
          <w:color w:val="222222"/>
          <w:sz w:val="20"/>
          <w:szCs w:val="20"/>
          <w:shd w:val="clear" w:color="auto" w:fill="FFFFFF"/>
        </w:rPr>
      </w:pPr>
    </w:p>
    <w:p w14:paraId="2F938602" w14:textId="67561C95" w:rsidR="006A4DC0" w:rsidRPr="007009F2" w:rsidRDefault="005074E5" w:rsidP="009E40CE">
      <w:pPr>
        <w:pStyle w:val="Pasus"/>
        <w:numPr>
          <w:ilvl w:val="0"/>
          <w:numId w:val="1"/>
        </w:numPr>
        <w:ind w:left="360"/>
        <w:rPr>
          <w:rFonts w:eastAsiaTheme="minorHAnsi"/>
          <w:color w:val="222222"/>
          <w:shd w:val="clear" w:color="auto" w:fill="FFFFFF"/>
          <w:lang w:val="sr-Cyrl-RS"/>
        </w:rPr>
      </w:pPr>
      <w:r w:rsidRPr="007009F2">
        <w:rPr>
          <w:b/>
          <w:color w:val="222222"/>
          <w:shd w:val="clear" w:color="auto" w:fill="FFFFFF"/>
          <w:lang w:val="sr-Cyrl-RS"/>
        </w:rPr>
        <w:t>Обухват ис</w:t>
      </w:r>
      <w:r w:rsidR="00096AD5">
        <w:rPr>
          <w:b/>
          <w:color w:val="222222"/>
          <w:shd w:val="clear" w:color="auto" w:fill="FFFFFF"/>
          <w:lang w:val="sr-Cyrl-RS"/>
        </w:rPr>
        <w:t>траживања и методологија узорка</w:t>
      </w:r>
      <w:r w:rsidRPr="007009F2">
        <w:rPr>
          <w:color w:val="222222"/>
          <w:shd w:val="clear" w:color="auto" w:fill="FFFFFF"/>
          <w:lang w:val="sr-Cyrl-RS"/>
        </w:rPr>
        <w:t xml:space="preserve"> </w:t>
      </w:r>
    </w:p>
    <w:p w14:paraId="4988BFCF" w14:textId="00625CAA" w:rsidR="006A4DC0" w:rsidRPr="007009F2" w:rsidRDefault="00810769" w:rsidP="009E40CE">
      <w:pPr>
        <w:pStyle w:val="Pasus"/>
        <w:numPr>
          <w:ilvl w:val="1"/>
          <w:numId w:val="1"/>
        </w:numPr>
        <w:ind w:left="1080"/>
        <w:rPr>
          <w:rFonts w:eastAsiaTheme="minorHAnsi"/>
          <w:color w:val="222222"/>
          <w:shd w:val="clear" w:color="auto" w:fill="FFFFFF"/>
          <w:lang w:val="en-US"/>
        </w:rPr>
      </w:pPr>
      <w:r w:rsidRPr="007009F2">
        <w:rPr>
          <w:rFonts w:eastAsiaTheme="minorHAnsi"/>
          <w:color w:val="222222"/>
          <w:shd w:val="clear" w:color="auto" w:fill="FFFFFF"/>
          <w:lang w:val="sr-Cyrl-RS"/>
        </w:rPr>
        <w:t>Месечно истраживање о запосленим</w:t>
      </w:r>
      <w:r w:rsidR="00D852A3" w:rsidRPr="007009F2">
        <w:rPr>
          <w:rFonts w:eastAsiaTheme="minorHAnsi"/>
          <w:color w:val="222222"/>
          <w:shd w:val="clear" w:color="auto" w:fill="FFFFFF"/>
          <w:lang w:val="sr-Cyrl-RS"/>
        </w:rPr>
        <w:t>а</w:t>
      </w:r>
      <w:r w:rsidRPr="007009F2">
        <w:rPr>
          <w:rFonts w:eastAsiaTheme="minorHAnsi"/>
          <w:color w:val="222222"/>
          <w:shd w:val="clear" w:color="auto" w:fill="FFFFFF"/>
          <w:lang w:val="sr-Cyrl-RS"/>
        </w:rPr>
        <w:t xml:space="preserve"> и зарадама запослених (РА</w:t>
      </w:r>
      <w:r w:rsidR="000E3980" w:rsidRPr="007009F2">
        <w:rPr>
          <w:rFonts w:eastAsiaTheme="minorHAnsi"/>
          <w:color w:val="222222"/>
          <w:shd w:val="clear" w:color="auto" w:fill="FFFFFF"/>
          <w:lang w:val="sr-Cyrl-RS"/>
        </w:rPr>
        <w:t>Д</w:t>
      </w:r>
      <w:r w:rsidRPr="007009F2">
        <w:rPr>
          <w:rFonts w:eastAsiaTheme="minorHAnsi"/>
          <w:color w:val="222222"/>
          <w:shd w:val="clear" w:color="auto" w:fill="FFFFFF"/>
          <w:lang w:val="sr-Cyrl-RS"/>
        </w:rPr>
        <w:t>-1</w:t>
      </w:r>
      <w:r w:rsidR="0054405A" w:rsidRPr="007009F2">
        <w:rPr>
          <w:rFonts w:eastAsiaTheme="minorHAnsi"/>
          <w:color w:val="222222"/>
          <w:shd w:val="clear" w:color="auto" w:fill="FFFFFF"/>
          <w:lang w:val="sr-Cyrl-RS"/>
        </w:rPr>
        <w:t>) спроводи</w:t>
      </w:r>
      <w:r w:rsidRPr="007009F2">
        <w:rPr>
          <w:rFonts w:eastAsiaTheme="minorHAnsi"/>
          <w:color w:val="222222"/>
          <w:shd w:val="clear" w:color="auto" w:fill="FFFFFF"/>
          <w:lang w:val="sr-Cyrl-RS"/>
        </w:rPr>
        <w:t xml:space="preserve"> се на намерно </w:t>
      </w:r>
      <w:r w:rsidR="00F741C1" w:rsidRPr="007009F2">
        <w:rPr>
          <w:rFonts w:eastAsiaTheme="minorHAnsi"/>
          <w:color w:val="222222"/>
          <w:shd w:val="clear" w:color="auto" w:fill="FFFFFF"/>
          <w:lang w:val="sr-Cyrl-RS"/>
        </w:rPr>
        <w:t>изабраном узорку правних лица.</w:t>
      </w:r>
      <w:r w:rsidRPr="007009F2">
        <w:rPr>
          <w:rFonts w:eastAsiaTheme="minorHAnsi"/>
          <w:color w:val="222222"/>
          <w:shd w:val="clear" w:color="auto" w:fill="FFFFFF"/>
          <w:lang w:val="sr-Cyrl-RS"/>
        </w:rPr>
        <w:t xml:space="preserve"> </w:t>
      </w:r>
      <w:proofErr w:type="spellStart"/>
      <w:r w:rsidRPr="007009F2">
        <w:rPr>
          <w:rFonts w:eastAsiaTheme="minorHAnsi"/>
          <w:color w:val="222222"/>
          <w:shd w:val="clear" w:color="auto" w:fill="FFFFFF"/>
          <w:lang w:val="en-US"/>
        </w:rPr>
        <w:t>Критеријум</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за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избор</w:t>
      </w:r>
      <w:proofErr w:type="spellEnd"/>
      <w:r w:rsidRPr="007009F2">
        <w:rPr>
          <w:rFonts w:eastAsiaTheme="minorHAnsi"/>
          <w:color w:val="222222"/>
          <w:shd w:val="clear" w:color="auto" w:fill="FFFFFF"/>
          <w:lang w:val="en-US"/>
        </w:rPr>
        <w:t xml:space="preserve"> у </w:t>
      </w:r>
      <w:proofErr w:type="spellStart"/>
      <w:r w:rsidRPr="007009F2">
        <w:rPr>
          <w:rFonts w:eastAsiaTheme="minorHAnsi"/>
          <w:color w:val="222222"/>
          <w:shd w:val="clear" w:color="auto" w:fill="FFFFFF"/>
          <w:lang w:val="en-US"/>
        </w:rPr>
        <w:t>узорак</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представља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број</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запослених</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на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основу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којег</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се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извештајне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јединице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бирају</w:t>
      </w:r>
      <w:proofErr w:type="spellEnd"/>
      <w:r w:rsidRPr="007009F2">
        <w:rPr>
          <w:rFonts w:eastAsiaTheme="minorHAnsi"/>
          <w:color w:val="222222"/>
          <w:shd w:val="clear" w:color="auto" w:fill="FFFFFF"/>
          <w:lang w:val="en-US"/>
        </w:rPr>
        <w:t xml:space="preserve"> у </w:t>
      </w:r>
      <w:proofErr w:type="spellStart"/>
      <w:r w:rsidRPr="007009F2">
        <w:rPr>
          <w:rFonts w:eastAsiaTheme="minorHAnsi"/>
          <w:color w:val="222222"/>
          <w:shd w:val="clear" w:color="auto" w:fill="FFFFFF"/>
          <w:lang w:val="en-US"/>
        </w:rPr>
        <w:t>узорак</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од</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већих</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ка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мањим</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Узорак</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обухвата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око</w:t>
      </w:r>
      <w:proofErr w:type="spellEnd"/>
      <w:r w:rsidRPr="007009F2">
        <w:rPr>
          <w:rFonts w:eastAsiaTheme="minorHAnsi"/>
          <w:color w:val="222222"/>
          <w:shd w:val="clear" w:color="auto" w:fill="FFFFFF"/>
          <w:lang w:val="en-US"/>
        </w:rPr>
        <w:t xml:space="preserve"> 8000 </w:t>
      </w:r>
      <w:proofErr w:type="spellStart"/>
      <w:r w:rsidRPr="007009F2">
        <w:rPr>
          <w:rFonts w:eastAsiaTheme="minorHAnsi"/>
          <w:color w:val="222222"/>
          <w:shd w:val="clear" w:color="auto" w:fill="FFFFFF"/>
          <w:lang w:val="en-US"/>
        </w:rPr>
        <w:t>извештајних</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јединица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што</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је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око</w:t>
      </w:r>
      <w:proofErr w:type="spellEnd"/>
      <w:r w:rsidRPr="007009F2">
        <w:rPr>
          <w:rFonts w:eastAsiaTheme="minorHAnsi"/>
          <w:color w:val="222222"/>
          <w:shd w:val="clear" w:color="auto" w:fill="FFFFFF"/>
          <w:lang w:val="en-US"/>
        </w:rPr>
        <w:t xml:space="preserve"> 65% </w:t>
      </w:r>
      <w:proofErr w:type="spellStart"/>
      <w:r w:rsidRPr="007009F2">
        <w:rPr>
          <w:rFonts w:eastAsiaTheme="minorHAnsi"/>
          <w:color w:val="222222"/>
          <w:shd w:val="clear" w:color="auto" w:fill="FFFFFF"/>
          <w:lang w:val="en-US"/>
        </w:rPr>
        <w:t>од</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укупног</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броја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запослених</w:t>
      </w:r>
      <w:proofErr w:type="spellEnd"/>
      <w:r w:rsidRPr="007009F2">
        <w:rPr>
          <w:rFonts w:eastAsiaTheme="minorHAnsi"/>
          <w:color w:val="222222"/>
          <w:shd w:val="clear" w:color="auto" w:fill="FFFFFF"/>
          <w:lang w:val="en-US"/>
        </w:rPr>
        <w:t xml:space="preserve"> у </w:t>
      </w:r>
      <w:proofErr w:type="spellStart"/>
      <w:r w:rsidRPr="007009F2">
        <w:rPr>
          <w:rFonts w:eastAsiaTheme="minorHAnsi"/>
          <w:color w:val="222222"/>
          <w:shd w:val="clear" w:color="auto" w:fill="FFFFFF"/>
          <w:lang w:val="en-US"/>
        </w:rPr>
        <w:t>привредним</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друштвима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предузећима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установама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задругама</w:t>
      </w:r>
      <w:proofErr w:type="spellEnd"/>
      <w:r w:rsidRPr="007009F2">
        <w:rPr>
          <w:rFonts w:eastAsiaTheme="minorHAnsi"/>
          <w:color w:val="222222"/>
          <w:shd w:val="clear" w:color="auto" w:fill="FFFFFF"/>
          <w:lang w:val="en-US"/>
        </w:rPr>
        <w:t xml:space="preserve"> и </w:t>
      </w:r>
      <w:proofErr w:type="spellStart"/>
      <w:r w:rsidRPr="007009F2">
        <w:rPr>
          <w:rFonts w:eastAsiaTheme="minorHAnsi"/>
          <w:color w:val="222222"/>
          <w:shd w:val="clear" w:color="auto" w:fill="FFFFFF"/>
          <w:lang w:val="en-US"/>
        </w:rPr>
        <w:t>другим</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организацијама</w:t>
      </w:r>
      <w:proofErr w:type="spellEnd"/>
      <w:r w:rsidRPr="007009F2">
        <w:rPr>
          <w:rFonts w:eastAsiaTheme="minorHAnsi"/>
          <w:color w:val="222222"/>
          <w:shd w:val="clear" w:color="auto" w:fill="FFFFFF"/>
          <w:lang w:val="en-US"/>
        </w:rPr>
        <w:t>.</w:t>
      </w:r>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Узорком</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се</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обезбеђује</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репрезентативност</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података</w:t>
      </w:r>
      <w:proofErr w:type="spellEnd"/>
      <w:r w:rsidR="0054405A" w:rsidRPr="007009F2">
        <w:rPr>
          <w:rFonts w:eastAsiaTheme="minorHAnsi"/>
          <w:color w:val="222222"/>
          <w:shd w:val="clear" w:color="auto" w:fill="FFFFFF"/>
          <w:lang w:val="en-US"/>
        </w:rPr>
        <w:t xml:space="preserve"> о </w:t>
      </w:r>
      <w:proofErr w:type="spellStart"/>
      <w:r w:rsidR="0054405A" w:rsidRPr="007009F2">
        <w:rPr>
          <w:rFonts w:eastAsiaTheme="minorHAnsi"/>
          <w:color w:val="222222"/>
          <w:shd w:val="clear" w:color="auto" w:fill="FFFFFF"/>
          <w:lang w:val="en-US"/>
        </w:rPr>
        <w:t>укупним</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просечним</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зарадама</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на</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нивоу</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општине</w:t>
      </w:r>
      <w:proofErr w:type="spellEnd"/>
      <w:r w:rsidR="0054405A" w:rsidRPr="007009F2">
        <w:rPr>
          <w:rFonts w:eastAsiaTheme="minorHAnsi"/>
          <w:color w:val="222222"/>
          <w:shd w:val="clear" w:color="auto" w:fill="FFFFFF"/>
          <w:lang w:val="en-US"/>
        </w:rPr>
        <w:t xml:space="preserve">, а </w:t>
      </w:r>
      <w:proofErr w:type="spellStart"/>
      <w:r w:rsidR="0054405A" w:rsidRPr="007009F2">
        <w:rPr>
          <w:rFonts w:eastAsiaTheme="minorHAnsi"/>
          <w:color w:val="222222"/>
          <w:shd w:val="clear" w:color="auto" w:fill="FFFFFF"/>
          <w:lang w:val="en-US"/>
        </w:rPr>
        <w:t>за</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регионе</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територијални</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ниво</w:t>
      </w:r>
      <w:proofErr w:type="spellEnd"/>
      <w:r w:rsidR="0054405A" w:rsidRPr="007009F2">
        <w:rPr>
          <w:rFonts w:eastAsiaTheme="minorHAnsi"/>
          <w:color w:val="222222"/>
          <w:shd w:val="clear" w:color="auto" w:fill="FFFFFF"/>
          <w:lang w:val="en-US"/>
        </w:rPr>
        <w:t xml:space="preserve"> НСТЈ 2) </w:t>
      </w:r>
      <w:proofErr w:type="spellStart"/>
      <w:r w:rsidR="0054405A" w:rsidRPr="007009F2">
        <w:rPr>
          <w:rFonts w:eastAsiaTheme="minorHAnsi"/>
          <w:color w:val="222222"/>
          <w:shd w:val="clear" w:color="auto" w:fill="FFFFFF"/>
          <w:lang w:val="en-US"/>
        </w:rPr>
        <w:t>на</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нивоу</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области</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делатности</w:t>
      </w:r>
      <w:proofErr w:type="spellEnd"/>
      <w:r w:rsidR="007A3576" w:rsidRPr="007009F2">
        <w:rPr>
          <w:rFonts w:eastAsiaTheme="minorHAnsi"/>
          <w:color w:val="222222"/>
          <w:shd w:val="clear" w:color="auto" w:fill="FFFFFF"/>
          <w:lang w:val="sr-Cyrl-RS"/>
        </w:rPr>
        <w:t>.</w:t>
      </w:r>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Истраживањем</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нису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обухваћени</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запослени</w:t>
      </w:r>
      <w:proofErr w:type="spellEnd"/>
      <w:r w:rsidRPr="007009F2">
        <w:rPr>
          <w:rFonts w:eastAsiaTheme="minorHAnsi"/>
          <w:color w:val="222222"/>
          <w:shd w:val="clear" w:color="auto" w:fill="FFFFFF"/>
          <w:lang w:val="en-US"/>
        </w:rPr>
        <w:t xml:space="preserve"> у </w:t>
      </w:r>
      <w:proofErr w:type="spellStart"/>
      <w:r w:rsidRPr="007009F2">
        <w:rPr>
          <w:rFonts w:eastAsiaTheme="minorHAnsi"/>
          <w:color w:val="222222"/>
          <w:shd w:val="clear" w:color="auto" w:fill="FFFFFF"/>
          <w:lang w:val="en-US"/>
        </w:rPr>
        <w:t>Министарству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одбране</w:t>
      </w:r>
      <w:proofErr w:type="spellEnd"/>
      <w:r w:rsidRPr="007009F2">
        <w:rPr>
          <w:rFonts w:eastAsiaTheme="minorHAnsi"/>
          <w:color w:val="222222"/>
          <w:shd w:val="clear" w:color="auto" w:fill="FFFFFF"/>
          <w:lang w:val="en-US"/>
        </w:rPr>
        <w:t xml:space="preserve"> и </w:t>
      </w:r>
      <w:proofErr w:type="spellStart"/>
      <w:r w:rsidRPr="007009F2">
        <w:rPr>
          <w:rFonts w:eastAsiaTheme="minorHAnsi"/>
          <w:color w:val="222222"/>
          <w:shd w:val="clear" w:color="auto" w:fill="FFFFFF"/>
          <w:lang w:val="en-US"/>
        </w:rPr>
        <w:t>Министарству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унут</w:t>
      </w:r>
      <w:r w:rsidR="0054405A" w:rsidRPr="007009F2">
        <w:rPr>
          <w:rFonts w:eastAsiaTheme="minorHAnsi"/>
          <w:color w:val="222222"/>
          <w:shd w:val="clear" w:color="auto" w:fill="FFFFFF"/>
          <w:lang w:val="en-US"/>
        </w:rPr>
        <w:t>рашњих</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послова</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Републике</w:t>
      </w:r>
      <w:proofErr w:type="spellEnd"/>
      <w:r w:rsidR="0054405A" w:rsidRPr="007009F2">
        <w:rPr>
          <w:rFonts w:eastAsiaTheme="minorHAnsi"/>
          <w:color w:val="222222"/>
          <w:shd w:val="clear" w:color="auto" w:fill="FFFFFF"/>
          <w:lang w:val="en-US"/>
        </w:rPr>
        <w:t xml:space="preserve"> </w:t>
      </w:r>
      <w:proofErr w:type="spellStart"/>
      <w:r w:rsidR="0054405A" w:rsidRPr="007009F2">
        <w:rPr>
          <w:rFonts w:eastAsiaTheme="minorHAnsi"/>
          <w:color w:val="222222"/>
          <w:shd w:val="clear" w:color="auto" w:fill="FFFFFF"/>
          <w:lang w:val="en-US"/>
        </w:rPr>
        <w:t>Србије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Подаци</w:t>
      </w:r>
      <w:proofErr w:type="spellEnd"/>
      <w:r w:rsidRPr="007009F2">
        <w:rPr>
          <w:rFonts w:eastAsiaTheme="minorHAnsi"/>
          <w:color w:val="222222"/>
          <w:shd w:val="clear" w:color="auto" w:fill="FFFFFF"/>
          <w:lang w:val="en-US"/>
        </w:rPr>
        <w:t xml:space="preserve"> о </w:t>
      </w:r>
      <w:proofErr w:type="spellStart"/>
      <w:r w:rsidRPr="007009F2">
        <w:rPr>
          <w:rFonts w:eastAsiaTheme="minorHAnsi"/>
          <w:color w:val="222222"/>
          <w:shd w:val="clear" w:color="auto" w:fill="FFFFFF"/>
          <w:lang w:val="en-US"/>
        </w:rPr>
        <w:t>зарадама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запослених</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код</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приватних</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предузетника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преузимају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се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из</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евиденција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Пореске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управе</w:t>
      </w:r>
      <w:proofErr w:type="spellEnd"/>
      <w:r w:rsidRPr="007009F2">
        <w:rPr>
          <w:rFonts w:eastAsiaTheme="minorHAnsi"/>
          <w:color w:val="222222"/>
          <w:shd w:val="clear" w:color="auto" w:fill="FFFFFF"/>
          <w:lang w:val="en-US"/>
        </w:rPr>
        <w:t xml:space="preserve"> и </w:t>
      </w:r>
      <w:proofErr w:type="spellStart"/>
      <w:r w:rsidRPr="007009F2">
        <w:rPr>
          <w:rFonts w:eastAsiaTheme="minorHAnsi"/>
          <w:color w:val="222222"/>
          <w:shd w:val="clear" w:color="auto" w:fill="FFFFFF"/>
          <w:lang w:val="en-US"/>
        </w:rPr>
        <w:t>придружују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се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подацима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добијеним</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из</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месечног</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истраживања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Обухвата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се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око</w:t>
      </w:r>
      <w:proofErr w:type="spellEnd"/>
      <w:r w:rsidRPr="007009F2">
        <w:rPr>
          <w:rFonts w:eastAsiaTheme="minorHAnsi"/>
          <w:color w:val="222222"/>
          <w:shd w:val="clear" w:color="auto" w:fill="FFFFFF"/>
          <w:lang w:val="en-US"/>
        </w:rPr>
        <w:t xml:space="preserve"> 65% </w:t>
      </w:r>
      <w:proofErr w:type="spellStart"/>
      <w:r w:rsidRPr="007009F2">
        <w:rPr>
          <w:rFonts w:eastAsiaTheme="minorHAnsi"/>
          <w:color w:val="222222"/>
          <w:shd w:val="clear" w:color="auto" w:fill="FFFFFF"/>
          <w:lang w:val="en-US"/>
        </w:rPr>
        <w:t>запослених</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код</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предузетника</w:t>
      </w:r>
      <w:proofErr w:type="spellEnd"/>
      <w:r w:rsidRPr="007009F2">
        <w:rPr>
          <w:rFonts w:eastAsiaTheme="minorHAnsi"/>
          <w:color w:val="222222"/>
          <w:shd w:val="clear" w:color="auto" w:fill="FFFFFF"/>
          <w:lang w:val="en-US"/>
        </w:rPr>
        <w:t xml:space="preserve">. У </w:t>
      </w:r>
      <w:proofErr w:type="spellStart"/>
      <w:r w:rsidRPr="007009F2">
        <w:rPr>
          <w:rFonts w:eastAsiaTheme="minorHAnsi"/>
          <w:color w:val="222222"/>
          <w:shd w:val="clear" w:color="auto" w:fill="FFFFFF"/>
          <w:lang w:val="en-US"/>
        </w:rPr>
        <w:t>обрачун</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просечних</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зарада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не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укључују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се</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предузетници</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лица</w:t>
      </w:r>
      <w:proofErr w:type="spellEnd"/>
      <w:r w:rsidRPr="007009F2">
        <w:rPr>
          <w:rFonts w:eastAsiaTheme="minorHAnsi"/>
          <w:color w:val="222222"/>
          <w:shd w:val="clear" w:color="auto" w:fill="FFFFFF"/>
          <w:lang w:val="en-US"/>
        </w:rPr>
        <w:t xml:space="preserve"> </w:t>
      </w:r>
      <w:proofErr w:type="spellStart"/>
      <w:proofErr w:type="gramStart"/>
      <w:r w:rsidRPr="007009F2">
        <w:rPr>
          <w:rFonts w:eastAsiaTheme="minorHAnsi"/>
          <w:color w:val="222222"/>
          <w:shd w:val="clear" w:color="auto" w:fill="FFFFFF"/>
          <w:lang w:val="en-US"/>
        </w:rPr>
        <w:t>која</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самостално</w:t>
      </w:r>
      <w:proofErr w:type="spellEnd"/>
      <w:proofErr w:type="gram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обављају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делатност</w:t>
      </w:r>
      <w:proofErr w:type="spellEnd"/>
      <w:r w:rsidRPr="007009F2">
        <w:rPr>
          <w:rFonts w:eastAsiaTheme="minorHAnsi"/>
          <w:color w:val="222222"/>
          <w:shd w:val="clear" w:color="auto" w:fill="FFFFFF"/>
          <w:lang w:val="en-US"/>
        </w:rPr>
        <w:t>/</w:t>
      </w:r>
      <w:proofErr w:type="spellStart"/>
      <w:r w:rsidRPr="007009F2">
        <w:rPr>
          <w:rFonts w:eastAsiaTheme="minorHAnsi"/>
          <w:color w:val="222222"/>
          <w:shd w:val="clear" w:color="auto" w:fill="FFFFFF"/>
          <w:lang w:val="en-US"/>
        </w:rPr>
        <w:t>професију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који</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немају</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статус</w:t>
      </w:r>
      <w:proofErr w:type="spellEnd"/>
      <w:r w:rsidRPr="007009F2">
        <w:rPr>
          <w:rFonts w:eastAsiaTheme="minorHAnsi"/>
          <w:color w:val="222222"/>
          <w:shd w:val="clear" w:color="auto" w:fill="FFFFFF"/>
          <w:lang w:val="en-US"/>
        </w:rPr>
        <w:t xml:space="preserve"> </w:t>
      </w:r>
      <w:proofErr w:type="spellStart"/>
      <w:r w:rsidRPr="007009F2">
        <w:rPr>
          <w:rFonts w:eastAsiaTheme="minorHAnsi"/>
          <w:color w:val="222222"/>
          <w:shd w:val="clear" w:color="auto" w:fill="FFFFFF"/>
          <w:lang w:val="en-US"/>
        </w:rPr>
        <w:t>запослених</w:t>
      </w:r>
      <w:proofErr w:type="spellEnd"/>
      <w:r w:rsidRPr="007009F2">
        <w:rPr>
          <w:rFonts w:eastAsiaTheme="minorHAnsi"/>
          <w:color w:val="222222"/>
          <w:shd w:val="clear" w:color="auto" w:fill="FFFFFF"/>
          <w:lang w:val="en-US"/>
        </w:rPr>
        <w:t>.</w:t>
      </w:r>
      <w:r w:rsidR="005074E5" w:rsidRPr="007009F2">
        <w:rPr>
          <w:color w:val="222222"/>
          <w:shd w:val="clear" w:color="auto" w:fill="FFFFFF"/>
        </w:rPr>
        <w:t xml:space="preserve"> </w:t>
      </w:r>
    </w:p>
    <w:p w14:paraId="1E33542C" w14:textId="72D9703B" w:rsidR="00810769" w:rsidRPr="007009F2" w:rsidRDefault="005074E5" w:rsidP="009E40CE">
      <w:pPr>
        <w:pStyle w:val="Pasus"/>
        <w:numPr>
          <w:ilvl w:val="1"/>
          <w:numId w:val="1"/>
        </w:numPr>
        <w:ind w:left="1080"/>
        <w:rPr>
          <w:rFonts w:eastAsiaTheme="minorHAnsi"/>
          <w:color w:val="222222"/>
          <w:shd w:val="clear" w:color="auto" w:fill="FFFFFF"/>
          <w:lang w:val="en-US"/>
        </w:rPr>
      </w:pPr>
      <w:r w:rsidRPr="007009F2">
        <w:rPr>
          <w:color w:val="222222"/>
          <w:shd w:val="clear" w:color="auto" w:fill="FFFFFF"/>
        </w:rPr>
        <w:t xml:space="preserve">ИТР је истраживање на бази случајног узорка којe обухвата </w:t>
      </w:r>
      <w:r w:rsidRPr="007009F2">
        <w:rPr>
          <w:color w:val="222222"/>
          <w:shd w:val="clear" w:color="auto" w:fill="FFFFFF"/>
          <w:lang w:val="sr-Cyrl-RS"/>
        </w:rPr>
        <w:t>пословне субјекте (</w:t>
      </w:r>
      <w:r w:rsidR="002642F4" w:rsidRPr="007009F2">
        <w:rPr>
          <w:color w:val="222222"/>
          <w:shd w:val="clear" w:color="auto" w:fill="FFFFFF"/>
          <w:lang w:val="sr-Cyrl-RS"/>
        </w:rPr>
        <w:t>правна лица</w:t>
      </w:r>
      <w:r w:rsidRPr="007009F2">
        <w:rPr>
          <w:color w:val="222222"/>
          <w:shd w:val="clear" w:color="auto" w:fill="FFFFFF"/>
        </w:rPr>
        <w:t xml:space="preserve"> и предузетнике</w:t>
      </w:r>
      <w:r w:rsidRPr="007009F2">
        <w:rPr>
          <w:color w:val="222222"/>
          <w:shd w:val="clear" w:color="auto" w:fill="FFFFFF"/>
          <w:lang w:val="sr-Cyrl-RS"/>
        </w:rPr>
        <w:t>)</w:t>
      </w:r>
      <w:r w:rsidRPr="007009F2">
        <w:rPr>
          <w:color w:val="222222"/>
          <w:shd w:val="clear" w:color="auto" w:fill="FFFFFF"/>
        </w:rPr>
        <w:t xml:space="preserve"> са 10 и више запослених.</w:t>
      </w:r>
    </w:p>
    <w:p w14:paraId="1AB37EA6" w14:textId="77777777" w:rsidR="007009F2" w:rsidRPr="007009F2" w:rsidRDefault="007009F2" w:rsidP="007009F2">
      <w:pPr>
        <w:pStyle w:val="Pasus"/>
        <w:ind w:left="1080" w:firstLine="0"/>
        <w:rPr>
          <w:rFonts w:eastAsiaTheme="minorHAnsi"/>
          <w:color w:val="222222"/>
          <w:shd w:val="clear" w:color="auto" w:fill="FFFFFF"/>
          <w:lang w:val="en-US"/>
        </w:rPr>
      </w:pPr>
    </w:p>
    <w:p w14:paraId="3230EC02" w14:textId="77777777" w:rsidR="002C0BE5" w:rsidRPr="007009F2" w:rsidRDefault="002C0BE5" w:rsidP="002C0BE5">
      <w:pPr>
        <w:pStyle w:val="Pasus"/>
        <w:ind w:left="1211" w:firstLine="0"/>
        <w:rPr>
          <w:rFonts w:eastAsiaTheme="minorHAnsi"/>
          <w:color w:val="222222"/>
          <w:shd w:val="clear" w:color="auto" w:fill="FFFFFF"/>
          <w:lang w:val="en-US"/>
        </w:rPr>
      </w:pPr>
    </w:p>
    <w:p w14:paraId="19DAE245" w14:textId="548C8469" w:rsidR="006A4DC0" w:rsidRPr="007009F2" w:rsidRDefault="000444E8" w:rsidP="009E40CE">
      <w:pPr>
        <w:pStyle w:val="Pasus"/>
        <w:numPr>
          <w:ilvl w:val="0"/>
          <w:numId w:val="1"/>
        </w:numPr>
        <w:ind w:left="360"/>
        <w:rPr>
          <w:rFonts w:eastAsiaTheme="minorHAnsi"/>
          <w:color w:val="222222"/>
          <w:shd w:val="clear" w:color="auto" w:fill="FFFFFF"/>
          <w:lang w:val="en-US"/>
        </w:rPr>
      </w:pPr>
      <w:r>
        <w:rPr>
          <w:b/>
          <w:color w:val="222222"/>
          <w:shd w:val="clear" w:color="auto" w:fill="FFFFFF"/>
          <w:lang w:val="sr-Cyrl-RS"/>
        </w:rPr>
        <w:lastRenderedPageBreak/>
        <w:t>Остале разлике</w:t>
      </w:r>
    </w:p>
    <w:p w14:paraId="7D2726DD" w14:textId="28A5E406" w:rsidR="006A4DC0" w:rsidRPr="007009F2" w:rsidRDefault="00AF578A" w:rsidP="009E40CE">
      <w:pPr>
        <w:pStyle w:val="Pasus"/>
        <w:numPr>
          <w:ilvl w:val="1"/>
          <w:numId w:val="1"/>
        </w:numPr>
        <w:ind w:left="1080"/>
        <w:rPr>
          <w:rFonts w:eastAsiaTheme="minorHAnsi"/>
          <w:color w:val="222222"/>
          <w:shd w:val="clear" w:color="auto" w:fill="FFFFFF"/>
          <w:lang w:val="sr-Cyrl-RS"/>
        </w:rPr>
      </w:pPr>
      <w:r w:rsidRPr="007009F2">
        <w:rPr>
          <w:color w:val="222222"/>
          <w:shd w:val="clear" w:color="auto" w:fill="FFFFFF"/>
          <w:lang w:val="sr-Cyrl-RS"/>
        </w:rPr>
        <w:t xml:space="preserve">У </w:t>
      </w:r>
      <w:r w:rsidR="000444E8" w:rsidRPr="007009F2">
        <w:rPr>
          <w:color w:val="222222"/>
          <w:shd w:val="clear" w:color="auto" w:fill="FFFFFF"/>
          <w:lang w:val="sr-Cyrl-RS"/>
        </w:rPr>
        <w:t xml:space="preserve">истраживању </w:t>
      </w:r>
      <w:r w:rsidRPr="007009F2">
        <w:rPr>
          <w:color w:val="222222"/>
          <w:shd w:val="clear" w:color="auto" w:fill="FFFFFF"/>
          <w:lang w:val="sr-Cyrl-RS"/>
        </w:rPr>
        <w:t>РАД-1 просечне зараде израчунавају се тако што се маса зарада исплаћених у извештајном месецу</w:t>
      </w:r>
      <w:r w:rsidR="002C0BE5" w:rsidRPr="007009F2">
        <w:rPr>
          <w:color w:val="222222"/>
          <w:shd w:val="clear" w:color="auto" w:fill="FFFFFF"/>
          <w:lang w:val="sr-Cyrl-RS"/>
        </w:rPr>
        <w:t>/години</w:t>
      </w:r>
      <w:r w:rsidRPr="007009F2">
        <w:rPr>
          <w:color w:val="222222"/>
          <w:shd w:val="clear" w:color="auto" w:fill="FFFFFF"/>
          <w:lang w:val="sr-Cyrl-RS"/>
        </w:rPr>
        <w:t xml:space="preserve"> дели са бројем запослених према подацима кадровске евиденције на крају извештајног месеца</w:t>
      </w:r>
      <w:r w:rsidR="002C0BE5" w:rsidRPr="007009F2">
        <w:rPr>
          <w:color w:val="222222"/>
          <w:shd w:val="clear" w:color="auto" w:fill="FFFFFF"/>
          <w:lang w:val="sr-Cyrl-RS"/>
        </w:rPr>
        <w:t xml:space="preserve"> (за годишњи податак </w:t>
      </w:r>
      <w:r w:rsidR="00CC7654" w:rsidRPr="007009F2">
        <w:rPr>
          <w:color w:val="222222"/>
          <w:shd w:val="clear" w:color="auto" w:fill="FFFFFF"/>
          <w:lang w:val="sr-Cyrl-RS"/>
        </w:rPr>
        <w:t xml:space="preserve">- </w:t>
      </w:r>
      <w:r w:rsidR="002C0BE5" w:rsidRPr="007009F2">
        <w:rPr>
          <w:color w:val="222222"/>
          <w:shd w:val="clear" w:color="auto" w:fill="FFFFFF"/>
          <w:lang w:val="sr-Cyrl-RS"/>
        </w:rPr>
        <w:t xml:space="preserve">са збиром запослених </w:t>
      </w:r>
      <w:r w:rsidR="00CC7654" w:rsidRPr="007009F2">
        <w:rPr>
          <w:color w:val="222222"/>
          <w:shd w:val="clear" w:color="auto" w:fill="FFFFFF"/>
          <w:lang w:val="sr-Cyrl-RS"/>
        </w:rPr>
        <w:t>за свих 12 месеци у години</w:t>
      </w:r>
      <w:r w:rsidR="002C0BE5" w:rsidRPr="007009F2">
        <w:rPr>
          <w:color w:val="222222"/>
          <w:shd w:val="clear" w:color="auto" w:fill="FFFFFF"/>
          <w:lang w:val="sr-Cyrl-RS"/>
        </w:rPr>
        <w:t>)</w:t>
      </w:r>
      <w:r w:rsidRPr="007009F2">
        <w:rPr>
          <w:color w:val="222222"/>
          <w:shd w:val="clear" w:color="auto" w:fill="FFFFFF"/>
          <w:lang w:val="sr-Cyrl-RS"/>
        </w:rPr>
        <w:t>. Подаци о просечним зарадама односе се на све запослене према подацима кадровске евиденције, без обзира на то да ли су сви они у том месецу и примили зараде.</w:t>
      </w:r>
    </w:p>
    <w:p w14:paraId="620AD628" w14:textId="05958FBD" w:rsidR="002C0BE5" w:rsidRPr="007009F2" w:rsidRDefault="002C0BE5" w:rsidP="009E40CE">
      <w:pPr>
        <w:pStyle w:val="Pasus"/>
        <w:numPr>
          <w:ilvl w:val="1"/>
          <w:numId w:val="1"/>
        </w:numPr>
        <w:ind w:left="1080"/>
        <w:rPr>
          <w:rFonts w:eastAsiaTheme="minorHAnsi"/>
          <w:color w:val="222222"/>
          <w:shd w:val="clear" w:color="auto" w:fill="FFFFFF"/>
          <w:lang w:val="sr-Cyrl-RS"/>
        </w:rPr>
      </w:pPr>
      <w:r w:rsidRPr="007009F2">
        <w:rPr>
          <w:color w:val="222222"/>
          <w:shd w:val="clear" w:color="auto" w:fill="FFFFFF"/>
          <w:lang w:val="sr-Cyrl-RS"/>
        </w:rPr>
        <w:t xml:space="preserve"> </w:t>
      </w:r>
      <w:r w:rsidRPr="005965AE">
        <w:rPr>
          <w:color w:val="222222"/>
          <w:shd w:val="clear" w:color="auto" w:fill="FFFFFF"/>
          <w:lang w:val="sr-Cyrl-RS"/>
        </w:rPr>
        <w:t>У ИТР у обзир</w:t>
      </w:r>
      <w:r w:rsidRPr="007009F2">
        <w:rPr>
          <w:color w:val="222222"/>
          <w:shd w:val="clear" w:color="auto" w:fill="FFFFFF"/>
          <w:lang w:val="sr-Cyrl-RS"/>
        </w:rPr>
        <w:t xml:space="preserve"> се узимају само запослени који су примили зараду или накнаду зараде</w:t>
      </w:r>
      <w:r w:rsidR="00941B0E">
        <w:rPr>
          <w:color w:val="222222"/>
          <w:shd w:val="clear" w:color="auto" w:fill="FFFFFF"/>
          <w:lang w:val="sr-Cyrl-RS"/>
        </w:rPr>
        <w:t>, д</w:t>
      </w:r>
      <w:r w:rsidRPr="007009F2">
        <w:rPr>
          <w:color w:val="222222"/>
          <w:shd w:val="clear" w:color="auto" w:fill="FFFFFF"/>
          <w:lang w:val="sr-Cyrl-RS"/>
        </w:rPr>
        <w:t>ок се масе трошкова за зараде, накнаде зарада и остале исплате (D11)</w:t>
      </w:r>
      <w:r w:rsidR="009201A7" w:rsidRPr="007009F2">
        <w:rPr>
          <w:color w:val="222222"/>
          <w:shd w:val="clear" w:color="auto" w:fill="FFFFFF"/>
          <w:lang w:val="sr-Latn-RS"/>
        </w:rPr>
        <w:t>,</w:t>
      </w:r>
      <w:r w:rsidRPr="007009F2">
        <w:rPr>
          <w:color w:val="222222"/>
          <w:shd w:val="clear" w:color="auto" w:fill="FFFFFF"/>
          <w:lang w:val="sr-Cyrl-RS"/>
        </w:rPr>
        <w:t xml:space="preserve"> </w:t>
      </w:r>
      <w:r w:rsidR="000643F7" w:rsidRPr="007009F2">
        <w:rPr>
          <w:color w:val="222222"/>
          <w:shd w:val="clear" w:color="auto" w:fill="FFFFFF"/>
          <w:lang w:val="sr-Cyrl-RS"/>
        </w:rPr>
        <w:t xml:space="preserve">које се односе на календарску годину, </w:t>
      </w:r>
      <w:r w:rsidRPr="007009F2">
        <w:rPr>
          <w:color w:val="222222"/>
          <w:shd w:val="clear" w:color="auto" w:fill="FFFFFF"/>
          <w:lang w:val="sr-Cyrl-RS"/>
        </w:rPr>
        <w:t>деле са бројем запослених који је изражен</w:t>
      </w:r>
      <w:r w:rsidR="009B719C" w:rsidRPr="007009F2">
        <w:rPr>
          <w:color w:val="222222"/>
          <w:shd w:val="clear" w:color="auto" w:fill="FFFFFF"/>
          <w:lang w:val="sr-Cyrl-RS"/>
        </w:rPr>
        <w:t xml:space="preserve"> у</w:t>
      </w:r>
      <w:r w:rsidRPr="007009F2">
        <w:rPr>
          <w:color w:val="222222"/>
          <w:shd w:val="clear" w:color="auto" w:fill="FFFFFF"/>
          <w:lang w:val="sr-Cyrl-RS"/>
        </w:rPr>
        <w:t xml:space="preserve"> </w:t>
      </w:r>
      <w:r w:rsidR="009B719C" w:rsidRPr="007009F2">
        <w:rPr>
          <w:color w:val="222222"/>
          <w:shd w:val="clear" w:color="auto" w:fill="FFFFFF"/>
          <w:lang w:val="sr-Cyrl-RS"/>
        </w:rPr>
        <w:t xml:space="preserve">еквивалентима </w:t>
      </w:r>
      <w:r w:rsidRPr="007009F2">
        <w:rPr>
          <w:color w:val="222222"/>
          <w:shd w:val="clear" w:color="auto" w:fill="FFFFFF"/>
          <w:lang w:val="sr-Cyrl-RS"/>
        </w:rPr>
        <w:t>пуног радног времена (</w:t>
      </w:r>
      <w:r w:rsidRPr="009E3ED8">
        <w:rPr>
          <w:i/>
          <w:color w:val="222222"/>
          <w:shd w:val="clear" w:color="auto" w:fill="FFFFFF"/>
          <w:lang w:val="sr-Cyrl-RS"/>
        </w:rPr>
        <w:t>full-time equivalent</w:t>
      </w:r>
      <w:r w:rsidRPr="007009F2">
        <w:rPr>
          <w:color w:val="222222"/>
          <w:shd w:val="clear" w:color="auto" w:fill="FFFFFF"/>
          <w:lang w:val="sr-Cyrl-RS"/>
        </w:rPr>
        <w:t xml:space="preserve"> – FTE).</w:t>
      </w:r>
    </w:p>
    <w:p w14:paraId="7C299C33" w14:textId="635A47BD" w:rsidR="009201A7" w:rsidRPr="007009F2" w:rsidRDefault="009201A7" w:rsidP="009201A7">
      <w:pPr>
        <w:pStyle w:val="Pasus"/>
        <w:rPr>
          <w:color w:val="222222"/>
          <w:shd w:val="clear" w:color="auto" w:fill="FFFFFF"/>
          <w:lang w:val="sr-Cyrl-RS"/>
        </w:rPr>
      </w:pPr>
    </w:p>
    <w:p w14:paraId="197EF734" w14:textId="36DE3BB1" w:rsidR="009201A7" w:rsidRDefault="009201A7" w:rsidP="009201A7">
      <w:pPr>
        <w:pStyle w:val="Pasus"/>
        <w:rPr>
          <w:color w:val="222222"/>
          <w:sz w:val="18"/>
          <w:szCs w:val="18"/>
          <w:shd w:val="clear" w:color="auto" w:fill="FFFFFF"/>
          <w:lang w:val="sr-Cyrl-RS"/>
        </w:rPr>
      </w:pPr>
    </w:p>
    <w:p w14:paraId="06A4B8D1" w14:textId="77777777" w:rsidR="009201A7" w:rsidRPr="009201A7" w:rsidRDefault="009201A7" w:rsidP="009201A7">
      <w:pPr>
        <w:pStyle w:val="Pasus"/>
        <w:rPr>
          <w:rFonts w:eastAsiaTheme="minorHAnsi"/>
          <w:color w:val="222222"/>
          <w:sz w:val="18"/>
          <w:szCs w:val="18"/>
          <w:shd w:val="clear" w:color="auto" w:fill="FFFFFF"/>
          <w:lang w:val="sr-Cyrl-RS"/>
        </w:rPr>
      </w:pPr>
    </w:p>
    <w:p w14:paraId="54C6AFB2" w14:textId="69953F12" w:rsidR="00C17016" w:rsidRPr="007009F2" w:rsidRDefault="00896A66" w:rsidP="008751C6">
      <w:pPr>
        <w:pStyle w:val="Pasus"/>
        <w:ind w:left="-990" w:firstLine="0"/>
        <w:jc w:val="center"/>
        <w:rPr>
          <w:color w:val="222222"/>
          <w:shd w:val="clear" w:color="auto" w:fill="FFFFFF"/>
          <w:lang w:val="sr-Cyrl-RS"/>
        </w:rPr>
      </w:pPr>
      <w:r w:rsidRPr="007009F2">
        <w:rPr>
          <w:b/>
          <w:color w:val="222222"/>
          <w:shd w:val="clear" w:color="auto" w:fill="FFFFFF"/>
          <w:lang w:val="sr-Cyrl-RS"/>
        </w:rPr>
        <w:t>Графикон</w:t>
      </w:r>
      <w:r w:rsidRPr="007009F2">
        <w:rPr>
          <w:color w:val="222222"/>
          <w:shd w:val="clear" w:color="auto" w:fill="FFFFFF"/>
          <w:lang w:val="sr-Cyrl-RS"/>
        </w:rPr>
        <w:t xml:space="preserve">: </w:t>
      </w:r>
      <w:r w:rsidR="00C17016" w:rsidRPr="007009F2">
        <w:rPr>
          <w:color w:val="222222"/>
          <w:shd w:val="clear" w:color="auto" w:fill="FFFFFF"/>
          <w:lang w:val="sr-Cyrl-RS"/>
        </w:rPr>
        <w:t xml:space="preserve">Бруто </w:t>
      </w:r>
      <w:r w:rsidRPr="007009F2">
        <w:rPr>
          <w:color w:val="222222"/>
          <w:shd w:val="clear" w:color="auto" w:fill="FFFFFF"/>
          <w:lang w:val="sr-Cyrl-RS"/>
        </w:rPr>
        <w:t xml:space="preserve">зараде (РАД-1) и трошкови </w:t>
      </w:r>
      <w:r w:rsidRPr="007009F2">
        <w:rPr>
          <w:color w:val="222222"/>
          <w:shd w:val="clear" w:color="auto" w:fill="FFFFFF"/>
        </w:rPr>
        <w:t>за зараде, накнаде зарада и остале исплате запосленима</w:t>
      </w:r>
      <w:r w:rsidR="00C17016" w:rsidRPr="007009F2">
        <w:rPr>
          <w:color w:val="222222"/>
          <w:shd w:val="clear" w:color="auto" w:fill="FFFFFF"/>
          <w:lang w:val="sr-Cyrl-RS"/>
        </w:rPr>
        <w:t xml:space="preserve"> </w:t>
      </w:r>
      <w:r w:rsidR="00FB0030" w:rsidRPr="007009F2">
        <w:rPr>
          <w:color w:val="222222"/>
          <w:shd w:val="clear" w:color="auto" w:fill="FFFFFF"/>
          <w:lang w:val="sr-Cyrl-RS"/>
        </w:rPr>
        <w:t>(ИТР)</w:t>
      </w:r>
    </w:p>
    <w:p w14:paraId="654F2078" w14:textId="6C692BFD" w:rsidR="00C17016" w:rsidRPr="007009F2" w:rsidRDefault="00896A66" w:rsidP="00896A66">
      <w:pPr>
        <w:pStyle w:val="Pasus"/>
        <w:ind w:left="180" w:firstLine="0"/>
        <w:jc w:val="center"/>
        <w:rPr>
          <w:color w:val="222222"/>
          <w:shd w:val="clear" w:color="auto" w:fill="FFFFFF"/>
          <w:lang w:val="sr-Cyrl-RS"/>
        </w:rPr>
      </w:pPr>
      <w:r w:rsidRPr="007009F2">
        <w:rPr>
          <w:color w:val="222222"/>
          <w:shd w:val="clear" w:color="auto" w:fill="FFFFFF"/>
          <w:lang w:val="sr-Cyrl-RS"/>
        </w:rPr>
        <w:t xml:space="preserve"> </w:t>
      </w:r>
      <w:r w:rsidR="00C17016" w:rsidRPr="007009F2">
        <w:rPr>
          <w:color w:val="222222"/>
          <w:shd w:val="clear" w:color="auto" w:fill="FFFFFF"/>
          <w:lang w:val="sr-Cyrl-RS"/>
        </w:rPr>
        <w:t>Просечни месечни изно</w:t>
      </w:r>
      <w:r w:rsidR="00FB0030" w:rsidRPr="007009F2">
        <w:rPr>
          <w:color w:val="222222"/>
          <w:shd w:val="clear" w:color="auto" w:fill="FFFFFF"/>
          <w:lang w:val="sr-Cyrl-RS"/>
        </w:rPr>
        <w:t>си у години и индекси (2012</w:t>
      </w:r>
      <w:r w:rsidR="009E3ED8">
        <w:rPr>
          <w:color w:val="222222"/>
          <w:shd w:val="clear" w:color="auto" w:fill="FFFFFF"/>
          <w:lang w:val="sr-Cyrl-RS"/>
        </w:rPr>
        <w:t xml:space="preserve"> </w:t>
      </w:r>
      <w:r w:rsidR="00FB0030" w:rsidRPr="007009F2">
        <w:rPr>
          <w:color w:val="222222"/>
          <w:shd w:val="clear" w:color="auto" w:fill="FFFFFF"/>
          <w:lang w:val="sr-Cyrl-RS"/>
        </w:rPr>
        <w:t>=</w:t>
      </w:r>
      <w:r w:rsidR="009E3ED8">
        <w:rPr>
          <w:color w:val="222222"/>
          <w:shd w:val="clear" w:color="auto" w:fill="FFFFFF"/>
          <w:lang w:val="sr-Cyrl-RS"/>
        </w:rPr>
        <w:t xml:space="preserve"> </w:t>
      </w:r>
      <w:r w:rsidR="00FB0030" w:rsidRPr="007009F2">
        <w:rPr>
          <w:color w:val="222222"/>
          <w:shd w:val="clear" w:color="auto" w:fill="FFFFFF"/>
          <w:lang w:val="sr-Cyrl-RS"/>
        </w:rPr>
        <w:t>100)</w:t>
      </w:r>
      <w:r w:rsidR="0039519B" w:rsidRPr="007009F2">
        <w:rPr>
          <w:color w:val="222222"/>
          <w:shd w:val="clear" w:color="auto" w:fill="FFFFFF"/>
          <w:lang w:val="sr-Cyrl-RS"/>
        </w:rPr>
        <w:t xml:space="preserve"> </w:t>
      </w:r>
    </w:p>
    <w:p w14:paraId="279D8F82" w14:textId="77777777" w:rsidR="00E30D77" w:rsidRDefault="00E30D77" w:rsidP="002C0BE5">
      <w:pPr>
        <w:pStyle w:val="Pasus"/>
        <w:ind w:left="1211" w:firstLine="0"/>
        <w:rPr>
          <w:color w:val="222222"/>
          <w:sz w:val="18"/>
          <w:szCs w:val="18"/>
          <w:shd w:val="clear" w:color="auto" w:fill="FFFFFF"/>
        </w:rPr>
      </w:pPr>
    </w:p>
    <w:p w14:paraId="629747FD" w14:textId="77777777" w:rsidR="00E30D77" w:rsidRPr="000E21B7" w:rsidRDefault="00E30D77" w:rsidP="000161E5">
      <w:pPr>
        <w:pStyle w:val="Pasus"/>
        <w:ind w:left="-180" w:firstLine="0"/>
        <w:rPr>
          <w:color w:val="222222"/>
          <w:sz w:val="18"/>
          <w:szCs w:val="18"/>
          <w:shd w:val="clear" w:color="auto" w:fill="FFFFFF"/>
          <w:lang w:val="sr-Latn-RS"/>
        </w:rPr>
      </w:pPr>
      <w:r w:rsidRPr="009B719C">
        <w:rPr>
          <w:noProof/>
          <w:highlight w:val="green"/>
          <w:lang w:val="en-US"/>
        </w:rPr>
        <w:drawing>
          <wp:inline distT="0" distB="0" distL="0" distR="0" wp14:anchorId="4358662E" wp14:editId="6F2C2BD0">
            <wp:extent cx="6410325" cy="46101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0B1A5FA" w14:textId="77777777" w:rsidR="00E30D77" w:rsidRDefault="00E30D77" w:rsidP="0067785B">
      <w:pPr>
        <w:pStyle w:val="Pasus"/>
        <w:rPr>
          <w:color w:val="222222"/>
          <w:sz w:val="18"/>
          <w:szCs w:val="18"/>
          <w:shd w:val="clear" w:color="auto" w:fill="FFFFFF"/>
          <w:lang w:val="sr-Cyrl-RS"/>
        </w:rPr>
      </w:pPr>
    </w:p>
    <w:p w14:paraId="1A394555" w14:textId="77777777" w:rsidR="00E30D77" w:rsidRDefault="00E30D77" w:rsidP="0067785B">
      <w:pPr>
        <w:pStyle w:val="Pasus"/>
        <w:rPr>
          <w:color w:val="222222"/>
          <w:sz w:val="18"/>
          <w:szCs w:val="18"/>
          <w:shd w:val="clear" w:color="auto" w:fill="FFFFFF"/>
          <w:lang w:val="sr-Cyrl-RS"/>
        </w:rPr>
      </w:pPr>
    </w:p>
    <w:p w14:paraId="22259BBB" w14:textId="77777777" w:rsidR="00E30D77" w:rsidRDefault="00E30D77" w:rsidP="0067785B">
      <w:pPr>
        <w:pStyle w:val="Pasus"/>
        <w:rPr>
          <w:color w:val="222222"/>
          <w:sz w:val="18"/>
          <w:szCs w:val="18"/>
          <w:shd w:val="clear" w:color="auto" w:fill="FFFFFF"/>
          <w:lang w:val="sr-Cyrl-RS"/>
        </w:rPr>
      </w:pPr>
    </w:p>
    <w:p w14:paraId="17D42436" w14:textId="77777777" w:rsidR="00E30D77" w:rsidRDefault="00E30D77" w:rsidP="0067785B">
      <w:pPr>
        <w:pStyle w:val="Pasus"/>
        <w:rPr>
          <w:color w:val="222222"/>
          <w:sz w:val="18"/>
          <w:szCs w:val="18"/>
          <w:shd w:val="clear" w:color="auto" w:fill="FFFFFF"/>
          <w:lang w:val="sr-Cyrl-RS"/>
        </w:rPr>
      </w:pPr>
    </w:p>
    <w:p w14:paraId="407DE5D6" w14:textId="30B7F9B7" w:rsidR="0067785B" w:rsidRPr="007009F2" w:rsidRDefault="0067785B" w:rsidP="006D20B3">
      <w:pPr>
        <w:pStyle w:val="Pasus"/>
        <w:rPr>
          <w:color w:val="222222"/>
          <w:shd w:val="clear" w:color="auto" w:fill="FFFFFF"/>
          <w:lang w:val="sr-Cyrl-RS"/>
        </w:rPr>
      </w:pPr>
      <w:r w:rsidRPr="007009F2">
        <w:rPr>
          <w:color w:val="222222"/>
          <w:shd w:val="clear" w:color="auto" w:fill="FFFFFF"/>
          <w:lang w:val="sr-Cyrl-RS"/>
        </w:rPr>
        <w:t>На укупном нивоу, просечни месечни т</w:t>
      </w:r>
      <w:r w:rsidRPr="007009F2">
        <w:rPr>
          <w:color w:val="222222"/>
          <w:shd w:val="clear" w:color="auto" w:fill="FFFFFF"/>
        </w:rPr>
        <w:t>рошкови за зараде, накнаде зарада и остале исплате запосленима</w:t>
      </w:r>
      <w:r w:rsidRPr="007009F2">
        <w:rPr>
          <w:color w:val="222222"/>
          <w:shd w:val="clear" w:color="auto" w:fill="FFFFFF"/>
          <w:lang w:val="sr-Cyrl-RS"/>
        </w:rPr>
        <w:t xml:space="preserve"> (</w:t>
      </w:r>
      <w:r w:rsidRPr="007009F2">
        <w:rPr>
          <w:color w:val="222222"/>
          <w:shd w:val="clear" w:color="auto" w:fill="FFFFFF"/>
        </w:rPr>
        <w:t>D11</w:t>
      </w:r>
      <w:r w:rsidR="00BB291E">
        <w:rPr>
          <w:color w:val="222222"/>
          <w:shd w:val="clear" w:color="auto" w:fill="FFFFFF"/>
          <w:lang w:val="sr-Cyrl-RS"/>
        </w:rPr>
        <w:t>) у 2016. години су били већи за 13,7</w:t>
      </w:r>
      <w:r w:rsidRPr="007009F2">
        <w:rPr>
          <w:color w:val="222222"/>
          <w:shd w:val="clear" w:color="auto" w:fill="FFFFFF"/>
          <w:lang w:val="sr-Cyrl-RS"/>
        </w:rPr>
        <w:t>% од просечних месечних (бруто) зарада у години. Разлог за то је превасходно чињеница да просечни месечни т</w:t>
      </w:r>
      <w:r w:rsidRPr="007009F2">
        <w:rPr>
          <w:color w:val="222222"/>
          <w:shd w:val="clear" w:color="auto" w:fill="FFFFFF"/>
        </w:rPr>
        <w:t>рошкови за зараде, накнаде зарада и остале исплате запосленима</w:t>
      </w:r>
      <w:r w:rsidRPr="007009F2">
        <w:rPr>
          <w:color w:val="222222"/>
          <w:shd w:val="clear" w:color="auto" w:fill="FFFFFF"/>
          <w:lang w:val="sr-Cyrl-RS"/>
        </w:rPr>
        <w:t xml:space="preserve"> (</w:t>
      </w:r>
      <w:r w:rsidRPr="007009F2">
        <w:rPr>
          <w:color w:val="222222"/>
          <w:shd w:val="clear" w:color="auto" w:fill="FFFFFF"/>
        </w:rPr>
        <w:t>D11</w:t>
      </w:r>
      <w:r w:rsidR="00BB291E">
        <w:rPr>
          <w:color w:val="222222"/>
          <w:shd w:val="clear" w:color="auto" w:fill="FFFFFF"/>
          <w:lang w:val="sr-Cyrl-RS"/>
        </w:rPr>
        <w:t xml:space="preserve">) </w:t>
      </w:r>
      <w:r w:rsidRPr="007009F2">
        <w:rPr>
          <w:color w:val="222222"/>
          <w:shd w:val="clear" w:color="auto" w:fill="FFFFFF"/>
          <w:lang w:val="sr-Cyrl-RS"/>
        </w:rPr>
        <w:t>имају ширу дефиницију</w:t>
      </w:r>
      <w:r w:rsidR="008152AF" w:rsidRPr="007009F2">
        <w:rPr>
          <w:color w:val="222222"/>
          <w:shd w:val="clear" w:color="auto" w:fill="FFFFFF"/>
          <w:lang w:val="sr-Cyrl-RS"/>
        </w:rPr>
        <w:t>, односно обухватају исп</w:t>
      </w:r>
      <w:r w:rsidRPr="007009F2">
        <w:rPr>
          <w:color w:val="222222"/>
          <w:shd w:val="clear" w:color="auto" w:fill="FFFFFF"/>
          <w:lang w:val="sr-Cyrl-RS"/>
        </w:rPr>
        <w:t>л</w:t>
      </w:r>
      <w:r w:rsidR="008152AF" w:rsidRPr="007009F2">
        <w:rPr>
          <w:color w:val="222222"/>
          <w:shd w:val="clear" w:color="auto" w:fill="FFFFFF"/>
          <w:lang w:val="sr-Cyrl-RS"/>
        </w:rPr>
        <w:t>а</w:t>
      </w:r>
      <w:r w:rsidRPr="007009F2">
        <w:rPr>
          <w:color w:val="222222"/>
          <w:shd w:val="clear" w:color="auto" w:fill="FFFFFF"/>
          <w:lang w:val="sr-Cyrl-RS"/>
        </w:rPr>
        <w:t xml:space="preserve">те запосленима које се по </w:t>
      </w:r>
      <w:r w:rsidRPr="007009F2">
        <w:rPr>
          <w:color w:val="222222"/>
          <w:shd w:val="clear" w:color="auto" w:fill="FFFFFF"/>
        </w:rPr>
        <w:t>члану</w:t>
      </w:r>
      <w:r w:rsidR="0039519B" w:rsidRPr="007009F2">
        <w:rPr>
          <w:color w:val="222222"/>
          <w:shd w:val="clear" w:color="auto" w:fill="FFFFFF"/>
        </w:rPr>
        <w:t xml:space="preserve"> 105 Закона о раду</w:t>
      </w:r>
      <w:r w:rsidR="0039519B" w:rsidRPr="007009F2">
        <w:rPr>
          <w:color w:val="222222"/>
          <w:shd w:val="clear" w:color="auto" w:fill="FFFFFF"/>
          <w:lang w:val="sr-Cyrl-RS"/>
        </w:rPr>
        <w:t xml:space="preserve"> не сматрају зарадом, иако се не могу занемарити и ост</w:t>
      </w:r>
      <w:r w:rsidR="004C0F1A" w:rsidRPr="007009F2">
        <w:rPr>
          <w:color w:val="222222"/>
          <w:shd w:val="clear" w:color="auto" w:fill="FFFFFF"/>
          <w:lang w:val="sr-Cyrl-RS"/>
        </w:rPr>
        <w:t>а</w:t>
      </w:r>
      <w:r w:rsidR="0039519B" w:rsidRPr="007009F2">
        <w:rPr>
          <w:color w:val="222222"/>
          <w:shd w:val="clear" w:color="auto" w:fill="FFFFFF"/>
          <w:lang w:val="sr-Cyrl-RS"/>
        </w:rPr>
        <w:t>л</w:t>
      </w:r>
      <w:r w:rsidR="00847F01" w:rsidRPr="007009F2">
        <w:rPr>
          <w:color w:val="222222"/>
          <w:shd w:val="clear" w:color="auto" w:fill="FFFFFF"/>
          <w:lang w:val="sr-Cyrl-RS"/>
        </w:rPr>
        <w:t>е методолошке разлике изм</w:t>
      </w:r>
      <w:r w:rsidR="004C0F1A" w:rsidRPr="007009F2">
        <w:rPr>
          <w:color w:val="222222"/>
          <w:shd w:val="clear" w:color="auto" w:fill="FFFFFF"/>
          <w:lang w:val="sr-Cyrl-RS"/>
        </w:rPr>
        <w:t>еђу ов</w:t>
      </w:r>
      <w:r w:rsidR="0039519B" w:rsidRPr="007009F2">
        <w:rPr>
          <w:color w:val="222222"/>
          <w:shd w:val="clear" w:color="auto" w:fill="FFFFFF"/>
          <w:lang w:val="sr-Cyrl-RS"/>
        </w:rPr>
        <w:t>а</w:t>
      </w:r>
      <w:r w:rsidR="004C0F1A" w:rsidRPr="007009F2">
        <w:rPr>
          <w:color w:val="222222"/>
          <w:shd w:val="clear" w:color="auto" w:fill="FFFFFF"/>
          <w:lang w:val="sr-Cyrl-RS"/>
        </w:rPr>
        <w:t xml:space="preserve"> </w:t>
      </w:r>
      <w:r w:rsidR="0039519B" w:rsidRPr="007009F2">
        <w:rPr>
          <w:color w:val="222222"/>
          <w:shd w:val="clear" w:color="auto" w:fill="FFFFFF"/>
          <w:lang w:val="sr-Cyrl-RS"/>
        </w:rPr>
        <w:t>два истраживања.</w:t>
      </w:r>
      <w:r w:rsidR="00DC6EED" w:rsidRPr="007009F2">
        <w:rPr>
          <w:color w:val="222222"/>
          <w:shd w:val="clear" w:color="auto" w:fill="FFFFFF"/>
          <w:lang w:val="sr-Cyrl-RS"/>
        </w:rPr>
        <w:t xml:space="preserve"> </w:t>
      </w:r>
      <w:r w:rsidR="004C0F1A" w:rsidRPr="007009F2">
        <w:rPr>
          <w:color w:val="222222"/>
          <w:shd w:val="clear" w:color="auto" w:fill="FFFFFF"/>
          <w:lang w:val="sr-Cyrl-RS"/>
        </w:rPr>
        <w:t>У оба истраживања рангирање сектора делатности према висини зараде (РАД-</w:t>
      </w:r>
      <w:r w:rsidR="006D20B3" w:rsidRPr="007009F2">
        <w:rPr>
          <w:color w:val="222222"/>
          <w:shd w:val="clear" w:color="auto" w:fill="FFFFFF"/>
          <w:lang w:val="sr-Cyrl-RS"/>
        </w:rPr>
        <w:t>1</w:t>
      </w:r>
      <w:r w:rsidR="004C0F1A" w:rsidRPr="007009F2">
        <w:rPr>
          <w:color w:val="222222"/>
          <w:shd w:val="clear" w:color="auto" w:fill="FFFFFF"/>
          <w:lang w:val="sr-Cyrl-RS"/>
        </w:rPr>
        <w:t>) и трошкова за зараде, накнаде зарада и осталих исплата запосленима (ИТР)</w:t>
      </w:r>
      <w:r w:rsidR="00B8113D" w:rsidRPr="007009F2">
        <w:rPr>
          <w:color w:val="222222"/>
          <w:shd w:val="clear" w:color="auto" w:fill="FFFFFF"/>
          <w:lang w:val="sr-Cyrl-RS"/>
        </w:rPr>
        <w:t xml:space="preserve"> у 2016. години </w:t>
      </w:r>
      <w:r w:rsidR="004C0F1A" w:rsidRPr="007009F2">
        <w:rPr>
          <w:color w:val="222222"/>
          <w:shd w:val="clear" w:color="auto" w:fill="FFFFFF"/>
          <w:lang w:val="sr-Cyrl-RS"/>
        </w:rPr>
        <w:t xml:space="preserve"> даје приближно исту слику. И према </w:t>
      </w:r>
      <w:r w:rsidR="004C0F1A" w:rsidRPr="007009F2">
        <w:rPr>
          <w:color w:val="222222"/>
          <w:shd w:val="clear" w:color="auto" w:fill="FFFFFF"/>
          <w:lang w:val="sr-Cyrl-RS"/>
        </w:rPr>
        <w:lastRenderedPageBreak/>
        <w:t xml:space="preserve">једном и према другом истраживању, зараде односно </w:t>
      </w:r>
      <w:r w:rsidR="00B8113D" w:rsidRPr="007009F2">
        <w:rPr>
          <w:color w:val="222222"/>
          <w:shd w:val="clear" w:color="auto" w:fill="FFFFFF"/>
          <w:lang w:val="sr-Cyrl-RS"/>
        </w:rPr>
        <w:t>трошкови за зараде су највиши у</w:t>
      </w:r>
      <w:r w:rsidR="004C0F1A" w:rsidRPr="007009F2">
        <w:rPr>
          <w:color w:val="222222"/>
          <w:shd w:val="clear" w:color="auto" w:fill="FFFFFF"/>
          <w:lang w:val="sr-Cyrl-RS"/>
        </w:rPr>
        <w:t xml:space="preserve"> </w:t>
      </w:r>
      <w:r w:rsidR="00FC6060" w:rsidRPr="007009F2">
        <w:rPr>
          <w:color w:val="222222"/>
          <w:shd w:val="clear" w:color="auto" w:fill="FFFFFF"/>
          <w:lang w:val="sr-Cyrl-RS"/>
        </w:rPr>
        <w:t xml:space="preserve">следећих </w:t>
      </w:r>
      <w:r w:rsidR="004C0F1A" w:rsidRPr="007009F2">
        <w:rPr>
          <w:color w:val="222222"/>
          <w:shd w:val="clear" w:color="auto" w:fill="FFFFFF"/>
          <w:lang w:val="sr-Cyrl-RS"/>
        </w:rPr>
        <w:t>пет сек</w:t>
      </w:r>
      <w:r w:rsidR="007D2681" w:rsidRPr="007009F2">
        <w:rPr>
          <w:color w:val="222222"/>
          <w:shd w:val="clear" w:color="auto" w:fill="FFFFFF"/>
          <w:lang w:val="sr-Cyrl-RS"/>
        </w:rPr>
        <w:t>тора</w:t>
      </w:r>
      <w:r w:rsidR="004C0F1A" w:rsidRPr="007009F2">
        <w:rPr>
          <w:color w:val="222222"/>
          <w:shd w:val="clear" w:color="auto" w:fill="FFFFFF"/>
          <w:lang w:val="sr-Cyrl-RS"/>
        </w:rPr>
        <w:t xml:space="preserve"> делатности</w:t>
      </w:r>
      <w:r w:rsidR="00B8113D" w:rsidRPr="007009F2">
        <w:rPr>
          <w:color w:val="222222"/>
          <w:shd w:val="clear" w:color="auto" w:fill="FFFFFF"/>
          <w:lang w:val="sr-Cyrl-RS"/>
        </w:rPr>
        <w:t>:</w:t>
      </w:r>
      <w:r w:rsidR="004C0F1A" w:rsidRPr="007009F2">
        <w:rPr>
          <w:color w:val="222222"/>
          <w:shd w:val="clear" w:color="auto" w:fill="FFFFFF"/>
          <w:lang w:val="sr-Cyrl-RS"/>
        </w:rPr>
        <w:t xml:space="preserve"> Финансијске делатности и делатност осигурања, Стручне, научне и техничке делатности, Информисање и комуникације,</w:t>
      </w:r>
      <w:r w:rsidR="004C0F1A" w:rsidRPr="007009F2">
        <w:t xml:space="preserve"> </w:t>
      </w:r>
      <w:r w:rsidR="004C0F1A" w:rsidRPr="007009F2">
        <w:rPr>
          <w:color w:val="222222"/>
          <w:shd w:val="clear" w:color="auto" w:fill="FFFFFF"/>
          <w:lang w:val="sr-Cyrl-RS"/>
        </w:rPr>
        <w:t>Рударство, Снабдевање електричном енергијом, гасом, паром и климатизација, са мањим одступањима од редоследа.</w:t>
      </w:r>
      <w:r w:rsidR="00B8113D" w:rsidRPr="007009F2">
        <w:rPr>
          <w:color w:val="222222"/>
          <w:shd w:val="clear" w:color="auto" w:fill="FFFFFF"/>
          <w:lang w:val="sr-Cyrl-RS"/>
        </w:rPr>
        <w:t xml:space="preserve"> С друге стране, сектор делатности Услуге смештаја и исхране је на самом зачељу када су у питању оба истраживања.</w:t>
      </w:r>
    </w:p>
    <w:p w14:paraId="38E721C1" w14:textId="20E571B8" w:rsidR="008D6F89" w:rsidRDefault="006D20B3" w:rsidP="006D20B3">
      <w:pPr>
        <w:pStyle w:val="Pasus"/>
        <w:rPr>
          <w:color w:val="222222"/>
          <w:shd w:val="clear" w:color="auto" w:fill="FFFFFF"/>
          <w:lang w:val="sr-Cyrl-RS"/>
        </w:rPr>
      </w:pPr>
      <w:r w:rsidRPr="007009F2">
        <w:rPr>
          <w:color w:val="222222"/>
          <w:shd w:val="clear" w:color="auto" w:fill="FFFFFF"/>
          <w:lang w:val="sr-Cyrl-RS"/>
        </w:rPr>
        <w:t>Према ИТР, просечни месечни т</w:t>
      </w:r>
      <w:r w:rsidRPr="007009F2">
        <w:rPr>
          <w:color w:val="222222"/>
          <w:shd w:val="clear" w:color="auto" w:fill="FFFFFF"/>
        </w:rPr>
        <w:t>рошкови за зараде, накнаде зарада и остале исплате запосленима</w:t>
      </w:r>
      <w:r w:rsidRPr="007009F2">
        <w:rPr>
          <w:color w:val="222222"/>
          <w:shd w:val="clear" w:color="auto" w:fill="FFFFFF"/>
          <w:lang w:val="sr-Cyrl-RS"/>
        </w:rPr>
        <w:t xml:space="preserve"> (</w:t>
      </w:r>
      <w:r w:rsidRPr="007009F2">
        <w:rPr>
          <w:color w:val="222222"/>
          <w:shd w:val="clear" w:color="auto" w:fill="FFFFFF"/>
        </w:rPr>
        <w:t>D11</w:t>
      </w:r>
      <w:r w:rsidRPr="007009F2">
        <w:rPr>
          <w:color w:val="222222"/>
          <w:shd w:val="clear" w:color="auto" w:fill="FFFFFF"/>
          <w:lang w:val="sr-Cyrl-RS"/>
        </w:rPr>
        <w:t>) повећани су у 2016.</w:t>
      </w:r>
      <w:r w:rsidR="009272EB" w:rsidRPr="007009F2">
        <w:rPr>
          <w:color w:val="222222"/>
          <w:shd w:val="clear" w:color="auto" w:fill="FFFFFF"/>
          <w:lang w:val="sr-Cyrl-RS"/>
        </w:rPr>
        <w:t xml:space="preserve"> </w:t>
      </w:r>
      <w:r w:rsidR="000A01F4">
        <w:rPr>
          <w:color w:val="222222"/>
          <w:shd w:val="clear" w:color="auto" w:fill="FFFFFF"/>
          <w:lang w:val="sr-Cyrl-RS"/>
        </w:rPr>
        <w:t>г</w:t>
      </w:r>
      <w:r w:rsidR="008D6F89" w:rsidRPr="007009F2">
        <w:rPr>
          <w:color w:val="222222"/>
          <w:shd w:val="clear" w:color="auto" w:fill="FFFFFF"/>
          <w:lang w:val="sr-Cyrl-RS"/>
        </w:rPr>
        <w:t>одини</w:t>
      </w:r>
      <w:r w:rsidR="000A01F4">
        <w:rPr>
          <w:color w:val="222222"/>
          <w:shd w:val="clear" w:color="auto" w:fill="FFFFFF"/>
          <w:lang w:val="sr-Cyrl-RS"/>
        </w:rPr>
        <w:t>, у односу на 2012,</w:t>
      </w:r>
      <w:r w:rsidR="009272EB" w:rsidRPr="007009F2">
        <w:rPr>
          <w:color w:val="222222"/>
          <w:shd w:val="clear" w:color="auto" w:fill="FFFFFF"/>
          <w:lang w:val="sr-Cyrl-RS"/>
        </w:rPr>
        <w:t xml:space="preserve"> за 5,2</w:t>
      </w:r>
      <w:r w:rsidRPr="007009F2">
        <w:rPr>
          <w:color w:val="222222"/>
          <w:shd w:val="clear" w:color="auto" w:fill="FFFFFF"/>
          <w:lang w:val="sr-Cyrl-RS"/>
        </w:rPr>
        <w:t>%</w:t>
      </w:r>
      <w:r w:rsidR="009272EB" w:rsidRPr="007009F2">
        <w:rPr>
          <w:color w:val="222222"/>
          <w:shd w:val="clear" w:color="auto" w:fill="FFFFFF"/>
          <w:lang w:val="sr-Cyrl-RS"/>
        </w:rPr>
        <w:t>,</w:t>
      </w:r>
      <w:r w:rsidRPr="007009F2">
        <w:rPr>
          <w:color w:val="222222"/>
          <w:shd w:val="clear" w:color="auto" w:fill="FFFFFF"/>
          <w:lang w:val="sr-Cyrl-RS"/>
        </w:rPr>
        <w:t xml:space="preserve"> </w:t>
      </w:r>
      <w:r w:rsidR="009272EB" w:rsidRPr="007009F2">
        <w:rPr>
          <w:color w:val="222222"/>
          <w:shd w:val="clear" w:color="auto" w:fill="FFFFFF"/>
          <w:lang w:val="sr-Cyrl-RS"/>
        </w:rPr>
        <w:t>д</w:t>
      </w:r>
      <w:r w:rsidR="008D6F89" w:rsidRPr="007009F2">
        <w:rPr>
          <w:color w:val="222222"/>
          <w:shd w:val="clear" w:color="auto" w:fill="FFFFFF"/>
          <w:lang w:val="sr-Cyrl-RS"/>
        </w:rPr>
        <w:t>ок су</w:t>
      </w:r>
      <w:r w:rsidR="000A01F4">
        <w:rPr>
          <w:color w:val="222222"/>
          <w:shd w:val="clear" w:color="auto" w:fill="FFFFFF"/>
          <w:lang w:val="sr-Cyrl-RS"/>
        </w:rPr>
        <w:t>,</w:t>
      </w:r>
      <w:r w:rsidR="008D6F89" w:rsidRPr="007009F2">
        <w:rPr>
          <w:color w:val="222222"/>
          <w:shd w:val="clear" w:color="auto" w:fill="FFFFFF"/>
          <w:lang w:val="sr-Cyrl-RS"/>
        </w:rPr>
        <w:t xml:space="preserve"> п</w:t>
      </w:r>
      <w:r w:rsidRPr="007009F2">
        <w:rPr>
          <w:color w:val="222222"/>
          <w:shd w:val="clear" w:color="auto" w:fill="FFFFFF"/>
          <w:lang w:val="sr-Cyrl-RS"/>
        </w:rPr>
        <w:t xml:space="preserve">рема </w:t>
      </w:r>
      <w:r w:rsidR="00BB291E" w:rsidRPr="007009F2">
        <w:rPr>
          <w:color w:val="222222"/>
          <w:shd w:val="clear" w:color="auto" w:fill="FFFFFF"/>
          <w:lang w:val="sr-Cyrl-RS"/>
        </w:rPr>
        <w:t xml:space="preserve">истраживању </w:t>
      </w:r>
      <w:r w:rsidRPr="007009F2">
        <w:rPr>
          <w:color w:val="222222"/>
          <w:shd w:val="clear" w:color="auto" w:fill="FFFFFF"/>
          <w:lang w:val="sr-Cyrl-RS"/>
        </w:rPr>
        <w:t>РАД-1</w:t>
      </w:r>
      <w:r w:rsidR="000A01F4">
        <w:rPr>
          <w:color w:val="222222"/>
          <w:shd w:val="clear" w:color="auto" w:fill="FFFFFF"/>
          <w:lang w:val="sr-Cyrl-RS"/>
        </w:rPr>
        <w:t>,</w:t>
      </w:r>
      <w:r w:rsidRPr="007009F2">
        <w:rPr>
          <w:color w:val="222222"/>
          <w:shd w:val="clear" w:color="auto" w:fill="FFFFFF"/>
          <w:lang w:val="sr-Cyrl-RS"/>
        </w:rPr>
        <w:t xml:space="preserve"> просечне м</w:t>
      </w:r>
      <w:r w:rsidR="00F22E22">
        <w:rPr>
          <w:color w:val="222222"/>
          <w:shd w:val="clear" w:color="auto" w:fill="FFFFFF"/>
          <w:lang w:val="sr-Cyrl-RS"/>
        </w:rPr>
        <w:t xml:space="preserve">есечне (бруто) зараде у години </w:t>
      </w:r>
      <w:r w:rsidRPr="007009F2">
        <w:rPr>
          <w:color w:val="222222"/>
          <w:shd w:val="clear" w:color="auto" w:fill="FFFFFF"/>
          <w:lang w:val="sr-Cyrl-RS"/>
        </w:rPr>
        <w:t xml:space="preserve">повећане </w:t>
      </w:r>
      <w:r w:rsidR="008D6F89" w:rsidRPr="007009F2">
        <w:rPr>
          <w:color w:val="222222"/>
          <w:shd w:val="clear" w:color="auto" w:fill="FFFFFF"/>
          <w:lang w:val="sr-Cyrl-RS"/>
        </w:rPr>
        <w:t>за 10,5% у истом том периоду. Уколико се имају у виду горе наведене разлике у дефиницији варијабли које се пореде, као и разлике у методологији узорка и обухвату, може се закључити да постоји в</w:t>
      </w:r>
      <w:r w:rsidR="00BB291E">
        <w:rPr>
          <w:color w:val="222222"/>
          <w:shd w:val="clear" w:color="auto" w:fill="FFFFFF"/>
          <w:lang w:val="sr-Cyrl-RS"/>
        </w:rPr>
        <w:t>исок степен кохерентности између</w:t>
      </w:r>
      <w:r w:rsidR="008D6F89" w:rsidRPr="007009F2">
        <w:rPr>
          <w:color w:val="222222"/>
          <w:shd w:val="clear" w:color="auto" w:fill="FFFFFF"/>
          <w:lang w:val="sr-Cyrl-RS"/>
        </w:rPr>
        <w:t xml:space="preserve"> </w:t>
      </w:r>
      <w:r w:rsidR="00BB291E" w:rsidRPr="007009F2">
        <w:rPr>
          <w:color w:val="222222"/>
          <w:shd w:val="clear" w:color="auto" w:fill="FFFFFF"/>
          <w:lang w:val="sr-Cyrl-RS"/>
        </w:rPr>
        <w:t xml:space="preserve">истраживања </w:t>
      </w:r>
      <w:r w:rsidR="008D6F89" w:rsidRPr="007009F2">
        <w:rPr>
          <w:color w:val="222222"/>
          <w:shd w:val="clear" w:color="auto" w:fill="FFFFFF"/>
          <w:lang w:val="sr-Cyrl-RS"/>
        </w:rPr>
        <w:t>РАД-</w:t>
      </w:r>
      <w:r w:rsidR="008D6F89" w:rsidRPr="00642B59">
        <w:rPr>
          <w:color w:val="222222"/>
          <w:shd w:val="clear" w:color="auto" w:fill="FFFFFF"/>
          <w:lang w:val="sr-Cyrl-RS"/>
        </w:rPr>
        <w:t xml:space="preserve">1 и ИТР. </w:t>
      </w:r>
      <w:r w:rsidR="006A6AEC" w:rsidRPr="00642B59">
        <w:rPr>
          <w:color w:val="222222"/>
          <w:shd w:val="clear" w:color="auto" w:fill="FFFFFF"/>
          <w:lang w:val="sr-Cyrl-RS"/>
        </w:rPr>
        <w:t>Н</w:t>
      </w:r>
      <w:r w:rsidR="008D6F89" w:rsidRPr="00642B59">
        <w:rPr>
          <w:color w:val="222222"/>
          <w:shd w:val="clear" w:color="auto" w:fill="FFFFFF"/>
          <w:lang w:val="sr-Cyrl-RS"/>
        </w:rPr>
        <w:t>еш</w:t>
      </w:r>
      <w:r w:rsidR="0034060E" w:rsidRPr="00642B59">
        <w:rPr>
          <w:color w:val="222222"/>
          <w:shd w:val="clear" w:color="auto" w:fill="FFFFFF"/>
          <w:lang w:val="sr-Cyrl-RS"/>
        </w:rPr>
        <w:t>то</w:t>
      </w:r>
      <w:r w:rsidR="0034060E" w:rsidRPr="007009F2">
        <w:rPr>
          <w:color w:val="222222"/>
          <w:shd w:val="clear" w:color="auto" w:fill="FFFFFF"/>
          <w:lang w:val="sr-Cyrl-RS"/>
        </w:rPr>
        <w:t xml:space="preserve"> ниж</w:t>
      </w:r>
      <w:r w:rsidR="006A6AEC">
        <w:rPr>
          <w:color w:val="222222"/>
          <w:shd w:val="clear" w:color="auto" w:fill="FFFFFF"/>
          <w:lang w:val="sr-Cyrl-RS"/>
        </w:rPr>
        <w:t>и</w:t>
      </w:r>
      <w:r w:rsidR="00642B59">
        <w:rPr>
          <w:color w:val="222222"/>
          <w:shd w:val="clear" w:color="auto" w:fill="FFFFFF"/>
          <w:lang w:val="sr-Cyrl-RS"/>
        </w:rPr>
        <w:t xml:space="preserve"> раст просечних месечних т</w:t>
      </w:r>
      <w:r w:rsidR="008D6F89" w:rsidRPr="007009F2">
        <w:rPr>
          <w:color w:val="222222"/>
          <w:shd w:val="clear" w:color="auto" w:fill="FFFFFF"/>
        </w:rPr>
        <w:t>рошкова за зараде, накнада зарада и осталих исплата запосленима</w:t>
      </w:r>
      <w:r w:rsidR="008D6F89" w:rsidRPr="007009F2">
        <w:rPr>
          <w:color w:val="222222"/>
          <w:shd w:val="clear" w:color="auto" w:fill="FFFFFF"/>
          <w:lang w:val="sr-Cyrl-RS"/>
        </w:rPr>
        <w:t xml:space="preserve"> (</w:t>
      </w:r>
      <w:r w:rsidR="008D6F89" w:rsidRPr="007009F2">
        <w:rPr>
          <w:color w:val="222222"/>
          <w:shd w:val="clear" w:color="auto" w:fill="FFFFFF"/>
        </w:rPr>
        <w:t>D11</w:t>
      </w:r>
      <w:r w:rsidR="00A62C95" w:rsidRPr="007009F2">
        <w:rPr>
          <w:color w:val="222222"/>
          <w:shd w:val="clear" w:color="auto" w:fill="FFFFFF"/>
          <w:lang w:val="sr-Cyrl-RS"/>
        </w:rPr>
        <w:t xml:space="preserve">) </w:t>
      </w:r>
      <w:r w:rsidR="008D6F89" w:rsidRPr="007009F2">
        <w:rPr>
          <w:color w:val="222222"/>
          <w:shd w:val="clear" w:color="auto" w:fill="FFFFFF"/>
          <w:lang w:val="sr-Cyrl-RS"/>
        </w:rPr>
        <w:t>(ИТР) од просечних (бруто) зарада (РАД-1)</w:t>
      </w:r>
      <w:r w:rsidR="00C11A88" w:rsidRPr="007009F2">
        <w:rPr>
          <w:color w:val="222222"/>
          <w:shd w:val="clear" w:color="auto" w:fill="FFFFFF"/>
          <w:lang w:val="sr-Cyrl-RS"/>
        </w:rPr>
        <w:t>, у периоду од 2012. до 2016,</w:t>
      </w:r>
      <w:r w:rsidR="008D6F89" w:rsidRPr="007009F2">
        <w:rPr>
          <w:color w:val="222222"/>
          <w:shd w:val="clear" w:color="auto" w:fill="FFFFFF"/>
          <w:lang w:val="sr-Cyrl-RS"/>
        </w:rPr>
        <w:t xml:space="preserve"> </w:t>
      </w:r>
      <w:r w:rsidR="006A6AEC">
        <w:rPr>
          <w:color w:val="222222"/>
          <w:shd w:val="clear" w:color="auto" w:fill="FFFFFF"/>
          <w:lang w:val="sr-Cyrl-RS"/>
        </w:rPr>
        <w:t>имп</w:t>
      </w:r>
      <w:r w:rsidR="00880F33">
        <w:rPr>
          <w:color w:val="222222"/>
          <w:shd w:val="clear" w:color="auto" w:fill="FFFFFF"/>
          <w:lang w:val="sr-Cyrl-RS"/>
        </w:rPr>
        <w:t>л</w:t>
      </w:r>
      <w:r w:rsidR="006A6AEC">
        <w:rPr>
          <w:color w:val="222222"/>
          <w:shd w:val="clear" w:color="auto" w:fill="FFFFFF"/>
          <w:lang w:val="sr-Cyrl-RS"/>
        </w:rPr>
        <w:t>ицира</w:t>
      </w:r>
      <w:r w:rsidR="0034060E" w:rsidRPr="007009F2">
        <w:rPr>
          <w:color w:val="222222"/>
          <w:shd w:val="clear" w:color="auto" w:fill="FFFFFF"/>
          <w:lang w:val="sr-Cyrl-RS"/>
        </w:rPr>
        <w:t xml:space="preserve"> да је тзв. основна зарада запослених у радном односу расла много више од осталих трошкова за зараде као што су накнаде за превоз, јубиларне награде, исплате у натури и сл.</w:t>
      </w:r>
      <w:r w:rsidR="00C11A88" w:rsidRPr="007009F2">
        <w:rPr>
          <w:color w:val="222222"/>
          <w:shd w:val="clear" w:color="auto" w:fill="FFFFFF"/>
          <w:lang w:val="sr-Cyrl-RS"/>
        </w:rPr>
        <w:t>,</w:t>
      </w:r>
      <w:r w:rsidR="0034060E" w:rsidRPr="007009F2">
        <w:rPr>
          <w:color w:val="222222"/>
          <w:shd w:val="clear" w:color="auto" w:fill="FFFFFF"/>
          <w:lang w:val="sr-Cyrl-RS"/>
        </w:rPr>
        <w:t xml:space="preserve"> </w:t>
      </w:r>
      <w:r w:rsidR="0034060E" w:rsidRPr="00642B59">
        <w:rPr>
          <w:color w:val="222222"/>
          <w:shd w:val="clear" w:color="auto" w:fill="FFFFFF"/>
          <w:lang w:val="sr-Cyrl-RS"/>
        </w:rPr>
        <w:t>који су</w:t>
      </w:r>
      <w:r w:rsidR="0034060E" w:rsidRPr="007009F2">
        <w:rPr>
          <w:color w:val="222222"/>
          <w:shd w:val="clear" w:color="auto" w:fill="FFFFFF"/>
          <w:lang w:val="sr-Cyrl-RS"/>
        </w:rPr>
        <w:t xml:space="preserve"> у овом периоду највероватније остали на истом нивоу. </w:t>
      </w:r>
      <w:r w:rsidR="00A62C95" w:rsidRPr="007009F2">
        <w:rPr>
          <w:color w:val="222222"/>
          <w:shd w:val="clear" w:color="auto" w:fill="FFFFFF"/>
          <w:lang w:val="sr-Cyrl-RS"/>
        </w:rPr>
        <w:t xml:space="preserve">Пораст броја запослених који обављају привремене и повремене послове, а који нису обухваћени </w:t>
      </w:r>
      <w:r w:rsidR="00545E3F" w:rsidRPr="007009F2">
        <w:rPr>
          <w:color w:val="222222"/>
          <w:shd w:val="clear" w:color="auto" w:fill="FFFFFF"/>
          <w:lang w:val="sr-Cyrl-RS"/>
        </w:rPr>
        <w:t xml:space="preserve">истраживањем </w:t>
      </w:r>
      <w:r w:rsidR="00A62C95" w:rsidRPr="007009F2">
        <w:rPr>
          <w:color w:val="222222"/>
          <w:shd w:val="clear" w:color="auto" w:fill="FFFFFF"/>
          <w:lang w:val="sr-Cyrl-RS"/>
        </w:rPr>
        <w:t xml:space="preserve">РАД-1, и који по правилу имају </w:t>
      </w:r>
      <w:r w:rsidR="00C11A88" w:rsidRPr="007009F2">
        <w:rPr>
          <w:color w:val="222222"/>
          <w:shd w:val="clear" w:color="auto" w:fill="FFFFFF"/>
          <w:lang w:val="sr-Cyrl-RS"/>
        </w:rPr>
        <w:t xml:space="preserve">нижу </w:t>
      </w:r>
      <w:r w:rsidR="00A62C95" w:rsidRPr="007009F2">
        <w:rPr>
          <w:color w:val="222222"/>
          <w:shd w:val="clear" w:color="auto" w:fill="FFFFFF"/>
          <w:lang w:val="sr-Cyrl-RS"/>
        </w:rPr>
        <w:t>зараду од запо</w:t>
      </w:r>
      <w:r w:rsidR="00C11A88" w:rsidRPr="007009F2">
        <w:rPr>
          <w:color w:val="222222"/>
          <w:shd w:val="clear" w:color="auto" w:fill="FFFFFF"/>
          <w:lang w:val="sr-Cyrl-RS"/>
        </w:rPr>
        <w:t>слених у радном односу, такође</w:t>
      </w:r>
      <w:r w:rsidR="00A62C95" w:rsidRPr="007009F2">
        <w:rPr>
          <w:color w:val="222222"/>
          <w:shd w:val="clear" w:color="auto" w:fill="FFFFFF"/>
          <w:lang w:val="sr-Cyrl-RS"/>
        </w:rPr>
        <w:t xml:space="preserve"> до</w:t>
      </w:r>
      <w:r w:rsidR="00C11A88" w:rsidRPr="007009F2">
        <w:rPr>
          <w:color w:val="222222"/>
          <w:shd w:val="clear" w:color="auto" w:fill="FFFFFF"/>
          <w:lang w:val="sr-Cyrl-RS"/>
        </w:rPr>
        <w:t>п</w:t>
      </w:r>
      <w:r w:rsidR="00A62C95" w:rsidRPr="007009F2">
        <w:rPr>
          <w:color w:val="222222"/>
          <w:shd w:val="clear" w:color="auto" w:fill="FFFFFF"/>
          <w:lang w:val="sr-Cyrl-RS"/>
        </w:rPr>
        <w:t>риноси нижем расту трошкова за зараде (</w:t>
      </w:r>
      <w:r w:rsidR="00A62C95" w:rsidRPr="007009F2">
        <w:rPr>
          <w:color w:val="222222"/>
          <w:shd w:val="clear" w:color="auto" w:fill="FFFFFF"/>
        </w:rPr>
        <w:t>D11</w:t>
      </w:r>
      <w:r w:rsidR="00A62C95" w:rsidRPr="007009F2">
        <w:rPr>
          <w:color w:val="222222"/>
          <w:shd w:val="clear" w:color="auto" w:fill="FFFFFF"/>
          <w:lang w:val="sr-Cyrl-RS"/>
        </w:rPr>
        <w:t>), који је забележен у ИТР.</w:t>
      </w:r>
    </w:p>
    <w:p w14:paraId="1606A8E1" w14:textId="4FD1B41B" w:rsidR="00C87074" w:rsidRPr="007009F2" w:rsidRDefault="006E62D3" w:rsidP="00C87074">
      <w:pPr>
        <w:pStyle w:val="Pasus"/>
        <w:rPr>
          <w:color w:val="222222"/>
          <w:shd w:val="clear" w:color="auto" w:fill="FFFFFF"/>
          <w:lang w:val="sr-Cyrl-RS"/>
        </w:rPr>
      </w:pPr>
      <w:r w:rsidRPr="007009F2">
        <w:rPr>
          <w:color w:val="222222"/>
          <w:shd w:val="clear" w:color="auto" w:fill="FFFFFF"/>
          <w:lang w:val="sr-Cyrl-RS"/>
        </w:rPr>
        <w:t xml:space="preserve">На основу података </w:t>
      </w:r>
      <w:r w:rsidR="00C87074" w:rsidRPr="007009F2">
        <w:rPr>
          <w:color w:val="222222"/>
          <w:shd w:val="clear" w:color="auto" w:fill="FFFFFF"/>
          <w:lang w:val="sr-Cyrl-RS"/>
        </w:rPr>
        <w:t>оба истраживања</w:t>
      </w:r>
      <w:r w:rsidRPr="007009F2">
        <w:rPr>
          <w:color w:val="222222"/>
          <w:shd w:val="clear" w:color="auto" w:fill="FFFFFF"/>
          <w:lang w:val="sr-Cyrl-RS"/>
        </w:rPr>
        <w:t>,</w:t>
      </w:r>
      <w:r w:rsidR="00C87074" w:rsidRPr="007009F2">
        <w:rPr>
          <w:color w:val="222222"/>
          <w:shd w:val="clear" w:color="auto" w:fill="FFFFFF"/>
          <w:lang w:val="sr-Cyrl-RS"/>
        </w:rPr>
        <w:t xml:space="preserve"> највећи раст зарада (РАД-1) и трошкова за зараде</w:t>
      </w:r>
      <w:r w:rsidR="00DF3C8D" w:rsidRPr="007009F2">
        <w:rPr>
          <w:color w:val="222222"/>
          <w:shd w:val="clear" w:color="auto" w:fill="FFFFFF"/>
          <w:lang w:val="sr-Cyrl-RS"/>
        </w:rPr>
        <w:t xml:space="preserve"> (</w:t>
      </w:r>
      <w:r w:rsidR="005F0D07" w:rsidRPr="007009F2">
        <w:rPr>
          <w:color w:val="222222"/>
          <w:shd w:val="clear" w:color="auto" w:fill="FFFFFF"/>
        </w:rPr>
        <w:t>D11</w:t>
      </w:r>
      <w:r w:rsidR="005F0D07" w:rsidRPr="007009F2">
        <w:rPr>
          <w:color w:val="222222"/>
          <w:shd w:val="clear" w:color="auto" w:fill="FFFFFF"/>
          <w:lang w:val="sr-Cyrl-RS"/>
        </w:rPr>
        <w:t>),</w:t>
      </w:r>
      <w:r w:rsidR="00C87074" w:rsidRPr="007009F2">
        <w:rPr>
          <w:color w:val="222222"/>
          <w:shd w:val="clear" w:color="auto" w:fill="FFFFFF"/>
          <w:lang w:val="sr-Cyrl-RS"/>
        </w:rPr>
        <w:t xml:space="preserve"> (ИТР), у 2016. у односу на 2012. годину, забележен је у </w:t>
      </w:r>
      <w:r w:rsidR="00786334" w:rsidRPr="007009F2">
        <w:rPr>
          <w:color w:val="222222"/>
          <w:shd w:val="clear" w:color="auto" w:fill="FFFFFF"/>
          <w:lang w:val="sr-Cyrl-RS"/>
        </w:rPr>
        <w:t>сектор</w:t>
      </w:r>
      <w:r w:rsidR="00C87074" w:rsidRPr="007009F2">
        <w:rPr>
          <w:color w:val="222222"/>
          <w:shd w:val="clear" w:color="auto" w:fill="FFFFFF"/>
          <w:lang w:val="sr-Cyrl-RS"/>
        </w:rPr>
        <w:t xml:space="preserve">у </w:t>
      </w:r>
      <w:r w:rsidR="00786334" w:rsidRPr="007009F2">
        <w:rPr>
          <w:color w:val="222222"/>
          <w:shd w:val="clear" w:color="auto" w:fill="FFFFFF"/>
          <w:lang w:val="sr-Cyrl-RS"/>
        </w:rPr>
        <w:t xml:space="preserve"> делатности Информисање и комуникације</w:t>
      </w:r>
      <w:r w:rsidR="00C87074" w:rsidRPr="007009F2">
        <w:rPr>
          <w:color w:val="222222"/>
          <w:shd w:val="clear" w:color="auto" w:fill="FFFFFF"/>
          <w:lang w:val="sr-Cyrl-RS"/>
        </w:rPr>
        <w:t xml:space="preserve"> и изн</w:t>
      </w:r>
      <w:r w:rsidR="00F22E22">
        <w:rPr>
          <w:color w:val="222222"/>
          <w:shd w:val="clear" w:color="auto" w:fill="FFFFFF"/>
          <w:lang w:val="sr-Cyrl-RS"/>
        </w:rPr>
        <w:t>оси 39,8% (РАД-1), односно 38,8</w:t>
      </w:r>
      <w:r w:rsidR="00C87074" w:rsidRPr="007009F2">
        <w:rPr>
          <w:color w:val="222222"/>
          <w:shd w:val="clear" w:color="auto" w:fill="FFFFFF"/>
          <w:lang w:val="sr-Cyrl-RS"/>
        </w:rPr>
        <w:t>% (ИТР). Овај сектор делатности један је од три сектора у којима пос</w:t>
      </w:r>
      <w:r w:rsidR="00F22E22">
        <w:rPr>
          <w:color w:val="222222"/>
          <w:shd w:val="clear" w:color="auto" w:fill="FFFFFF"/>
          <w:lang w:val="sr-Cyrl-RS"/>
        </w:rPr>
        <w:t xml:space="preserve">тоји највећи степен </w:t>
      </w:r>
      <w:r w:rsidR="00DF3C8D" w:rsidRPr="007009F2">
        <w:rPr>
          <w:color w:val="222222"/>
          <w:shd w:val="clear" w:color="auto" w:fill="FFFFFF"/>
          <w:lang w:val="sr-Cyrl-RS"/>
        </w:rPr>
        <w:t>корелације</w:t>
      </w:r>
      <w:r w:rsidR="00C87074" w:rsidRPr="007009F2">
        <w:rPr>
          <w:color w:val="222222"/>
          <w:shd w:val="clear" w:color="auto" w:fill="FFFFFF"/>
          <w:lang w:val="sr-Cyrl-RS"/>
        </w:rPr>
        <w:t xml:space="preserve"> у кретању зарада</w:t>
      </w:r>
      <w:r w:rsidR="00CF1C0A" w:rsidRPr="007009F2">
        <w:rPr>
          <w:color w:val="222222"/>
          <w:shd w:val="clear" w:color="auto" w:fill="FFFFFF"/>
          <w:lang w:val="sr-Cyrl-RS"/>
        </w:rPr>
        <w:t xml:space="preserve"> (РАД-1)</w:t>
      </w:r>
      <w:r w:rsidR="00C87074" w:rsidRPr="007009F2">
        <w:rPr>
          <w:color w:val="222222"/>
          <w:shd w:val="clear" w:color="auto" w:fill="FFFFFF"/>
          <w:lang w:val="sr-Cyrl-RS"/>
        </w:rPr>
        <w:t xml:space="preserve"> и  трошкова за зараде</w:t>
      </w:r>
      <w:r w:rsidR="00CF1C0A" w:rsidRPr="007009F2">
        <w:rPr>
          <w:color w:val="222222"/>
          <w:shd w:val="clear" w:color="auto" w:fill="FFFFFF"/>
          <w:lang w:val="sr-Cyrl-RS"/>
        </w:rPr>
        <w:t xml:space="preserve"> (ИТР)</w:t>
      </w:r>
      <w:r w:rsidR="00C87074" w:rsidRPr="007009F2">
        <w:rPr>
          <w:color w:val="222222"/>
          <w:shd w:val="clear" w:color="auto" w:fill="FFFFFF"/>
          <w:lang w:val="sr-Cyrl-RS"/>
        </w:rPr>
        <w:t xml:space="preserve">. </w:t>
      </w:r>
      <w:r w:rsidR="00093030" w:rsidRPr="007009F2">
        <w:rPr>
          <w:color w:val="222222"/>
          <w:shd w:val="clear" w:color="auto" w:fill="FFFFFF"/>
          <w:lang w:val="sr-Cyrl-RS"/>
        </w:rPr>
        <w:t>Друга два сектора делатности су Здравствена и социјална заштита и Финансијске делатности и делатност осигурања</w:t>
      </w:r>
      <w:r w:rsidR="00CF1C0A" w:rsidRPr="007009F2">
        <w:rPr>
          <w:color w:val="222222"/>
          <w:shd w:val="clear" w:color="auto" w:fill="FFFFFF"/>
          <w:lang w:val="sr-Cyrl-RS"/>
        </w:rPr>
        <w:t>,</w:t>
      </w:r>
      <w:r w:rsidR="00093030" w:rsidRPr="007009F2">
        <w:rPr>
          <w:color w:val="222222"/>
          <w:shd w:val="clear" w:color="auto" w:fill="FFFFFF"/>
          <w:lang w:val="sr-Cyrl-RS"/>
        </w:rPr>
        <w:t xml:space="preserve"> у којима  разлика у </w:t>
      </w:r>
      <w:r w:rsidR="00CF1C0A" w:rsidRPr="007009F2">
        <w:rPr>
          <w:color w:val="222222"/>
          <w:shd w:val="clear" w:color="auto" w:fill="FFFFFF"/>
          <w:lang w:val="sr-Cyrl-RS"/>
        </w:rPr>
        <w:t>кретању</w:t>
      </w:r>
      <w:r w:rsidR="00093030" w:rsidRPr="007009F2">
        <w:rPr>
          <w:color w:val="222222"/>
          <w:shd w:val="clear" w:color="auto" w:fill="FFFFFF"/>
          <w:lang w:val="sr-Cyrl-RS"/>
        </w:rPr>
        <w:t xml:space="preserve"> </w:t>
      </w:r>
      <w:r w:rsidR="00CF1C0A" w:rsidRPr="007009F2">
        <w:rPr>
          <w:color w:val="222222"/>
          <w:shd w:val="clear" w:color="auto" w:fill="FFFFFF"/>
          <w:lang w:val="sr-Cyrl-RS"/>
        </w:rPr>
        <w:t>зарада</w:t>
      </w:r>
      <w:r w:rsidR="00076BF0" w:rsidRPr="007009F2">
        <w:rPr>
          <w:color w:val="222222"/>
          <w:shd w:val="clear" w:color="auto" w:fill="FFFFFF"/>
          <w:lang w:val="sr-Cyrl-RS"/>
        </w:rPr>
        <w:t>,</w:t>
      </w:r>
      <w:r w:rsidR="00CF1C0A" w:rsidRPr="007009F2">
        <w:rPr>
          <w:color w:val="222222"/>
          <w:shd w:val="clear" w:color="auto" w:fill="FFFFFF"/>
          <w:lang w:val="sr-Cyrl-RS"/>
        </w:rPr>
        <w:t xml:space="preserve"> односно трошкова за зараде у посматраном периоду </w:t>
      </w:r>
      <w:r w:rsidR="00093030" w:rsidRPr="007009F2">
        <w:rPr>
          <w:color w:val="222222"/>
          <w:shd w:val="clear" w:color="auto" w:fill="FFFFFF"/>
          <w:lang w:val="sr-Cyrl-RS"/>
        </w:rPr>
        <w:t>из</w:t>
      </w:r>
      <w:r w:rsidR="00AD5344">
        <w:rPr>
          <w:color w:val="222222"/>
          <w:shd w:val="clear" w:color="auto" w:fill="FFFFFF"/>
          <w:lang w:val="sr-Cyrl-RS"/>
        </w:rPr>
        <w:t xml:space="preserve">носи </w:t>
      </w:r>
      <w:r w:rsidR="00AD5344" w:rsidRPr="00642B59">
        <w:rPr>
          <w:color w:val="222222"/>
          <w:shd w:val="clear" w:color="auto" w:fill="FFFFFF"/>
          <w:lang w:val="sr-Cyrl-RS"/>
        </w:rPr>
        <w:t>око</w:t>
      </w:r>
      <w:r w:rsidR="006600F4">
        <w:rPr>
          <w:color w:val="222222"/>
          <w:shd w:val="clear" w:color="auto" w:fill="FFFFFF"/>
          <w:lang w:val="sr-Cyrl-RS"/>
        </w:rPr>
        <w:t xml:space="preserve"> један</w:t>
      </w:r>
      <w:bookmarkStart w:id="0" w:name="_GoBack"/>
      <w:bookmarkEnd w:id="0"/>
      <w:r w:rsidR="00AD5344" w:rsidRPr="00642B59">
        <w:rPr>
          <w:color w:val="222222"/>
          <w:shd w:val="clear" w:color="auto" w:fill="FFFFFF"/>
          <w:lang w:val="sr-Cyrl-RS"/>
        </w:rPr>
        <w:t xml:space="preserve"> процентни поен</w:t>
      </w:r>
      <w:r w:rsidR="00076BF0" w:rsidRPr="00642B59">
        <w:rPr>
          <w:color w:val="222222"/>
          <w:shd w:val="clear" w:color="auto" w:fill="FFFFFF"/>
          <w:lang w:val="sr-Cyrl-RS"/>
        </w:rPr>
        <w:t>.</w:t>
      </w:r>
    </w:p>
    <w:p w14:paraId="6F65D080" w14:textId="26B8C481" w:rsidR="009573BA" w:rsidRPr="00CF70F0" w:rsidRDefault="002E054A" w:rsidP="00B84E95">
      <w:pPr>
        <w:pStyle w:val="Pasus"/>
        <w:rPr>
          <w:color w:val="222222"/>
          <w:shd w:val="clear" w:color="auto" w:fill="FFFFFF"/>
          <w:lang w:val="sr-Latn-RS"/>
        </w:rPr>
      </w:pPr>
      <w:r w:rsidRPr="007009F2">
        <w:rPr>
          <w:color w:val="222222"/>
          <w:shd w:val="clear" w:color="auto" w:fill="FFFFFF"/>
          <w:lang w:val="sr-Cyrl-RS"/>
        </w:rPr>
        <w:t>У секторима делатности</w:t>
      </w:r>
      <w:r w:rsidR="00FC6060" w:rsidRPr="007009F2">
        <w:rPr>
          <w:color w:val="222222"/>
          <w:shd w:val="clear" w:color="auto" w:fill="FFFFFF"/>
          <w:lang w:val="sr-Cyrl-RS"/>
        </w:rPr>
        <w:t xml:space="preserve"> Пoсловање некретнинам</w:t>
      </w:r>
      <w:r w:rsidR="00CC0CBD">
        <w:rPr>
          <w:color w:val="222222"/>
          <w:shd w:val="clear" w:color="auto" w:fill="FFFFFF"/>
          <w:lang w:val="sr-Cyrl-RS"/>
        </w:rPr>
        <w:t xml:space="preserve">а, Услуге смештаја и исхране и </w:t>
      </w:r>
      <w:r w:rsidR="00FC6060" w:rsidRPr="007009F2">
        <w:rPr>
          <w:color w:val="222222"/>
          <w:shd w:val="clear" w:color="auto" w:fill="FFFFFF"/>
          <w:lang w:val="sr-Cyrl-RS"/>
        </w:rPr>
        <w:t>Остале услужне делатности разлика у кретању зарада (РАД-1) и трошкова за зараде (ИТР) је</w:t>
      </w:r>
      <w:r w:rsidR="00CC0CBD">
        <w:rPr>
          <w:color w:val="222222"/>
          <w:shd w:val="clear" w:color="auto" w:fill="FFFFFF"/>
          <w:lang w:val="sr-Cyrl-RS"/>
        </w:rPr>
        <w:t>сте</w:t>
      </w:r>
      <w:r w:rsidR="00FC6060" w:rsidRPr="007009F2">
        <w:rPr>
          <w:color w:val="222222"/>
          <w:shd w:val="clear" w:color="auto" w:fill="FFFFFF"/>
          <w:lang w:val="sr-Cyrl-RS"/>
        </w:rPr>
        <w:t xml:space="preserve"> највећа. И док</w:t>
      </w:r>
      <w:r w:rsidRPr="007009F2">
        <w:rPr>
          <w:color w:val="222222"/>
          <w:shd w:val="clear" w:color="auto" w:fill="FFFFFF"/>
          <w:lang w:val="sr-Cyrl-RS"/>
        </w:rPr>
        <w:t>,</w:t>
      </w:r>
      <w:r w:rsidR="00FC6060" w:rsidRPr="007009F2">
        <w:rPr>
          <w:color w:val="222222"/>
          <w:shd w:val="clear" w:color="auto" w:fill="FFFFFF"/>
          <w:lang w:val="sr-Cyrl-RS"/>
        </w:rPr>
        <w:t xml:space="preserve"> према </w:t>
      </w:r>
      <w:r w:rsidR="00FC6060" w:rsidRPr="00642B59">
        <w:rPr>
          <w:color w:val="222222"/>
          <w:shd w:val="clear" w:color="auto" w:fill="FFFFFF"/>
          <w:lang w:val="sr-Cyrl-RS"/>
        </w:rPr>
        <w:t>подацима ИТР за 2016. годину</w:t>
      </w:r>
      <w:r w:rsidRPr="007009F2">
        <w:rPr>
          <w:color w:val="222222"/>
          <w:shd w:val="clear" w:color="auto" w:fill="FFFFFF"/>
          <w:lang w:val="sr-Cyrl-RS"/>
        </w:rPr>
        <w:t>,</w:t>
      </w:r>
      <w:r w:rsidR="00C1742E">
        <w:rPr>
          <w:color w:val="222222"/>
          <w:shd w:val="clear" w:color="auto" w:fill="FFFFFF"/>
          <w:lang w:val="sr-Cyrl-RS"/>
        </w:rPr>
        <w:t xml:space="preserve"> </w:t>
      </w:r>
      <w:r w:rsidR="00FC6060" w:rsidRPr="007009F2">
        <w:rPr>
          <w:color w:val="222222"/>
          <w:shd w:val="clear" w:color="auto" w:fill="FFFFFF"/>
          <w:lang w:val="sr-Cyrl-RS"/>
        </w:rPr>
        <w:t>т</w:t>
      </w:r>
      <w:r w:rsidR="00FC6060" w:rsidRPr="007009F2">
        <w:rPr>
          <w:color w:val="222222"/>
          <w:shd w:val="clear" w:color="auto" w:fill="FFFFFF"/>
        </w:rPr>
        <w:t>рошкови за зараде, накнаде зарада и остале исплате запосленима</w:t>
      </w:r>
      <w:r w:rsidR="00FC6060" w:rsidRPr="007009F2">
        <w:rPr>
          <w:color w:val="222222"/>
          <w:shd w:val="clear" w:color="auto" w:fill="FFFFFF"/>
          <w:lang w:val="sr-Cyrl-RS"/>
        </w:rPr>
        <w:t xml:space="preserve"> (</w:t>
      </w:r>
      <w:r w:rsidR="00FC6060" w:rsidRPr="007009F2">
        <w:rPr>
          <w:color w:val="222222"/>
          <w:shd w:val="clear" w:color="auto" w:fill="FFFFFF"/>
        </w:rPr>
        <w:t>D11</w:t>
      </w:r>
      <w:r w:rsidR="00FC6060" w:rsidRPr="007009F2">
        <w:rPr>
          <w:color w:val="222222"/>
          <w:shd w:val="clear" w:color="auto" w:fill="FFFFFF"/>
          <w:lang w:val="sr-Cyrl-RS"/>
        </w:rPr>
        <w:t>) бележе</w:t>
      </w:r>
      <w:r w:rsidR="00C1742E">
        <w:rPr>
          <w:color w:val="222222"/>
          <w:shd w:val="clear" w:color="auto" w:fill="FFFFFF"/>
          <w:lang w:val="sr-Cyrl-RS"/>
        </w:rPr>
        <w:t xml:space="preserve"> пад у односу на 2012. годину, </w:t>
      </w:r>
      <w:r w:rsidR="00FC6060" w:rsidRPr="007009F2">
        <w:rPr>
          <w:color w:val="222222"/>
          <w:shd w:val="clear" w:color="auto" w:fill="FFFFFF"/>
          <w:lang w:val="sr-Cyrl-RS"/>
        </w:rPr>
        <w:t xml:space="preserve">према подацима </w:t>
      </w:r>
      <w:r w:rsidR="00C1742E" w:rsidRPr="007009F2">
        <w:rPr>
          <w:color w:val="222222"/>
          <w:shd w:val="clear" w:color="auto" w:fill="FFFFFF"/>
          <w:lang w:val="sr-Cyrl-RS"/>
        </w:rPr>
        <w:t xml:space="preserve">истраживања </w:t>
      </w:r>
      <w:r w:rsidR="00FC6060" w:rsidRPr="007009F2">
        <w:rPr>
          <w:color w:val="222222"/>
          <w:shd w:val="clear" w:color="auto" w:fill="FFFFFF"/>
          <w:lang w:val="sr-Cyrl-RS"/>
        </w:rPr>
        <w:t>РАД-1</w:t>
      </w:r>
      <w:r w:rsidR="00B84E95" w:rsidRPr="007009F2">
        <w:rPr>
          <w:color w:val="222222"/>
          <w:shd w:val="clear" w:color="auto" w:fill="FFFFFF"/>
          <w:lang w:val="sr-Cyrl-RS"/>
        </w:rPr>
        <w:t xml:space="preserve">, </w:t>
      </w:r>
      <w:r w:rsidR="00FC6060" w:rsidRPr="007009F2">
        <w:rPr>
          <w:color w:val="222222"/>
          <w:shd w:val="clear" w:color="auto" w:fill="FFFFFF"/>
          <w:lang w:val="sr-Cyrl-RS"/>
        </w:rPr>
        <w:t>просечне зараде у истом том пери</w:t>
      </w:r>
      <w:r w:rsidRPr="007009F2">
        <w:rPr>
          <w:color w:val="222222"/>
          <w:shd w:val="clear" w:color="auto" w:fill="FFFFFF"/>
          <w:lang w:val="sr-Cyrl-RS"/>
        </w:rPr>
        <w:t>о</w:t>
      </w:r>
      <w:r w:rsidR="00FC6060" w:rsidRPr="007009F2">
        <w:rPr>
          <w:color w:val="222222"/>
          <w:shd w:val="clear" w:color="auto" w:fill="FFFFFF"/>
          <w:lang w:val="sr-Cyrl-RS"/>
        </w:rPr>
        <w:t>ду</w:t>
      </w:r>
      <w:r w:rsidR="00B84E95" w:rsidRPr="007009F2">
        <w:rPr>
          <w:color w:val="222222"/>
          <w:shd w:val="clear" w:color="auto" w:fill="FFFFFF"/>
          <w:lang w:val="sr-Cyrl-RS"/>
        </w:rPr>
        <w:t xml:space="preserve"> </w:t>
      </w:r>
      <w:r w:rsidR="00FC6060" w:rsidRPr="007009F2">
        <w:rPr>
          <w:color w:val="222222"/>
          <w:shd w:val="clear" w:color="auto" w:fill="FFFFFF"/>
          <w:lang w:val="sr-Cyrl-RS"/>
        </w:rPr>
        <w:t>расту. Међутим, ова супротна динамика кретања може се тумачити у корист кохе</w:t>
      </w:r>
      <w:r w:rsidR="00A04849" w:rsidRPr="007009F2">
        <w:rPr>
          <w:color w:val="222222"/>
          <w:shd w:val="clear" w:color="auto" w:fill="FFFFFF"/>
          <w:lang w:val="sr-Cyrl-RS"/>
        </w:rPr>
        <w:t>р</w:t>
      </w:r>
      <w:r w:rsidR="00FC6060" w:rsidRPr="007009F2">
        <w:rPr>
          <w:color w:val="222222"/>
          <w:shd w:val="clear" w:color="auto" w:fill="FFFFFF"/>
          <w:lang w:val="sr-Cyrl-RS"/>
        </w:rPr>
        <w:t>ентности ов</w:t>
      </w:r>
      <w:r w:rsidR="00B84E95" w:rsidRPr="007009F2">
        <w:rPr>
          <w:color w:val="222222"/>
          <w:shd w:val="clear" w:color="auto" w:fill="FFFFFF"/>
          <w:lang w:val="sr-Cyrl-RS"/>
        </w:rPr>
        <w:t>а дв</w:t>
      </w:r>
      <w:r w:rsidR="00FC6060" w:rsidRPr="007009F2">
        <w:rPr>
          <w:color w:val="222222"/>
          <w:shd w:val="clear" w:color="auto" w:fill="FFFFFF"/>
          <w:lang w:val="sr-Cyrl-RS"/>
        </w:rPr>
        <w:t>а</w:t>
      </w:r>
      <w:r w:rsidR="00B84E95" w:rsidRPr="007009F2">
        <w:rPr>
          <w:color w:val="222222"/>
          <w:shd w:val="clear" w:color="auto" w:fill="FFFFFF"/>
          <w:lang w:val="sr-Cyrl-RS"/>
        </w:rPr>
        <w:t xml:space="preserve"> </w:t>
      </w:r>
      <w:r w:rsidR="00FC6060" w:rsidRPr="007009F2">
        <w:rPr>
          <w:color w:val="222222"/>
          <w:shd w:val="clear" w:color="auto" w:fill="FFFFFF"/>
          <w:lang w:val="sr-Cyrl-RS"/>
        </w:rPr>
        <w:t>истраживања. Наиме, за ове секторе карактеристично је да се обављају у оквиру мањих пословних субјеката, чија је заступљеност у ИТР репрезентативна</w:t>
      </w:r>
      <w:r w:rsidR="00A134D6" w:rsidRPr="007009F2">
        <w:rPr>
          <w:color w:val="222222"/>
          <w:shd w:val="clear" w:color="auto" w:fill="FFFFFF"/>
          <w:lang w:val="sr-Cyrl-RS"/>
        </w:rPr>
        <w:t>,</w:t>
      </w:r>
      <w:r w:rsidR="00FC6060" w:rsidRPr="007009F2">
        <w:rPr>
          <w:color w:val="222222"/>
          <w:shd w:val="clear" w:color="auto" w:fill="FFFFFF"/>
          <w:lang w:val="sr-Cyrl-RS"/>
        </w:rPr>
        <w:t xml:space="preserve"> с обзиром да </w:t>
      </w:r>
      <w:r w:rsidR="00B84E95" w:rsidRPr="007009F2">
        <w:rPr>
          <w:color w:val="222222"/>
          <w:shd w:val="clear" w:color="auto" w:fill="FFFFFF"/>
          <w:lang w:val="sr-Cyrl-RS"/>
        </w:rPr>
        <w:t xml:space="preserve">је </w:t>
      </w:r>
      <w:r w:rsidR="00FC6060" w:rsidRPr="007009F2">
        <w:rPr>
          <w:color w:val="222222"/>
          <w:shd w:val="clear" w:color="auto" w:fill="FFFFFF"/>
          <w:lang w:val="sr-Cyrl-RS"/>
        </w:rPr>
        <w:t>случајни узорак</w:t>
      </w:r>
      <w:r w:rsidR="00B84E95" w:rsidRPr="007009F2">
        <w:rPr>
          <w:color w:val="222222"/>
          <w:shd w:val="clear" w:color="auto" w:fill="FFFFFF"/>
          <w:lang w:val="sr-Cyrl-RS"/>
        </w:rPr>
        <w:t xml:space="preserve"> страт</w:t>
      </w:r>
      <w:r w:rsidR="00A134D6" w:rsidRPr="007009F2">
        <w:rPr>
          <w:color w:val="222222"/>
          <w:shd w:val="clear" w:color="auto" w:fill="FFFFFF"/>
          <w:lang w:val="sr-Cyrl-RS"/>
        </w:rPr>
        <w:t>ификован и према величини предуз</w:t>
      </w:r>
      <w:r w:rsidR="00B84E95" w:rsidRPr="007009F2">
        <w:rPr>
          <w:color w:val="222222"/>
          <w:shd w:val="clear" w:color="auto" w:fill="FFFFFF"/>
          <w:lang w:val="sr-Cyrl-RS"/>
        </w:rPr>
        <w:t>ећа, за разлику</w:t>
      </w:r>
      <w:r w:rsidR="0023293B" w:rsidRPr="007009F2">
        <w:rPr>
          <w:color w:val="222222"/>
          <w:shd w:val="clear" w:color="auto" w:fill="FFFFFF"/>
          <w:lang w:val="sr-Cyrl-RS"/>
        </w:rPr>
        <w:t xml:space="preserve"> од</w:t>
      </w:r>
      <w:r w:rsidR="00B84E95" w:rsidRPr="007009F2">
        <w:rPr>
          <w:color w:val="222222"/>
          <w:shd w:val="clear" w:color="auto" w:fill="FFFFFF"/>
          <w:lang w:val="sr-Cyrl-RS"/>
        </w:rPr>
        <w:t xml:space="preserve"> </w:t>
      </w:r>
      <w:r w:rsidR="00642B59" w:rsidRPr="007009F2">
        <w:rPr>
          <w:color w:val="222222"/>
          <w:shd w:val="clear" w:color="auto" w:fill="FFFFFF"/>
          <w:lang w:val="sr-Cyrl-RS"/>
        </w:rPr>
        <w:t xml:space="preserve">истраживања </w:t>
      </w:r>
      <w:r w:rsidR="00B84E95" w:rsidRPr="007009F2">
        <w:rPr>
          <w:color w:val="222222"/>
          <w:shd w:val="clear" w:color="auto" w:fill="FFFFFF"/>
          <w:lang w:val="sr-Cyrl-RS"/>
        </w:rPr>
        <w:t>РАД-1</w:t>
      </w:r>
      <w:r w:rsidR="00642B59">
        <w:rPr>
          <w:color w:val="222222"/>
          <w:shd w:val="clear" w:color="auto" w:fill="FFFFFF"/>
          <w:lang w:val="sr-Cyrl-RS"/>
        </w:rPr>
        <w:t>,</w:t>
      </w:r>
      <w:r w:rsidR="00B84E95" w:rsidRPr="007009F2">
        <w:rPr>
          <w:color w:val="222222"/>
          <w:shd w:val="clear" w:color="auto" w:fill="FFFFFF"/>
          <w:lang w:val="sr-Cyrl-RS"/>
        </w:rPr>
        <w:t xml:space="preserve"> где је методологија узорка</w:t>
      </w:r>
      <w:r w:rsidR="000E21B7" w:rsidRPr="007009F2">
        <w:rPr>
          <w:color w:val="222222"/>
          <w:shd w:val="clear" w:color="auto" w:fill="FFFFFF"/>
          <w:lang w:val="sr-Cyrl-RS"/>
        </w:rPr>
        <w:t xml:space="preserve"> таква да</w:t>
      </w:r>
      <w:r w:rsidR="00B84E95" w:rsidRPr="007009F2">
        <w:rPr>
          <w:color w:val="222222"/>
          <w:shd w:val="clear" w:color="auto" w:fill="FFFFFF"/>
          <w:lang w:val="sr-Cyrl-RS"/>
        </w:rPr>
        <w:t xml:space="preserve"> управо већина ових пословних субјеката</w:t>
      </w:r>
      <w:r w:rsidR="000E21B7" w:rsidRPr="007009F2">
        <w:rPr>
          <w:color w:val="222222"/>
          <w:shd w:val="clear" w:color="auto" w:fill="FFFFFF"/>
          <w:lang w:val="sr-Cyrl-RS"/>
        </w:rPr>
        <w:t xml:space="preserve"> није </w:t>
      </w:r>
      <w:r w:rsidR="00B84E95" w:rsidRPr="007009F2">
        <w:rPr>
          <w:color w:val="222222"/>
          <w:shd w:val="clear" w:color="auto" w:fill="FFFFFF"/>
          <w:lang w:val="sr-Cyrl-RS"/>
        </w:rPr>
        <w:t>обухваћена. Такође, за поменуте секторе делатнос</w:t>
      </w:r>
      <w:r w:rsidR="0023293B" w:rsidRPr="007009F2">
        <w:rPr>
          <w:color w:val="222222"/>
          <w:shd w:val="clear" w:color="auto" w:fill="FFFFFF"/>
          <w:lang w:val="sr-Cyrl-RS"/>
        </w:rPr>
        <w:t>ти ка</w:t>
      </w:r>
      <w:r w:rsidR="00B84E95" w:rsidRPr="007009F2">
        <w:rPr>
          <w:color w:val="222222"/>
          <w:shd w:val="clear" w:color="auto" w:fill="FFFFFF"/>
          <w:lang w:val="sr-Cyrl-RS"/>
        </w:rPr>
        <w:t xml:space="preserve">рактеристично је и то да запошљавају лица на привременим и повременим пословима који нису обухваћени </w:t>
      </w:r>
      <w:r w:rsidR="00EC16F3" w:rsidRPr="007009F2">
        <w:rPr>
          <w:color w:val="222222"/>
          <w:shd w:val="clear" w:color="auto" w:fill="FFFFFF"/>
          <w:lang w:val="sr-Cyrl-RS"/>
        </w:rPr>
        <w:t xml:space="preserve">истраживањем </w:t>
      </w:r>
      <w:r w:rsidR="00B84E95" w:rsidRPr="007009F2">
        <w:rPr>
          <w:color w:val="222222"/>
          <w:shd w:val="clear" w:color="auto" w:fill="FFFFFF"/>
          <w:lang w:val="sr-Cyrl-RS"/>
        </w:rPr>
        <w:t xml:space="preserve">РАД-1, и чије су накнаде зарада (па и остали трошкови послодавца) знатно мање од зарада запослених у радном односу.  </w:t>
      </w:r>
    </w:p>
    <w:sectPr w:rsidR="009573BA" w:rsidRPr="00CF70F0" w:rsidSect="009201A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S">
    <w:altName w:val="Arial"/>
    <w:charset w:val="00"/>
    <w:family w:val="swiss"/>
    <w:pitch w:val="variable"/>
    <w:sig w:usb0="20001A87" w:usb1="00000000"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A194F"/>
    <w:multiLevelType w:val="hybridMultilevel"/>
    <w:tmpl w:val="DD0A62DE"/>
    <w:lvl w:ilvl="0" w:tplc="AAC0FA3E">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5"/>
    <w:rsid w:val="000161E5"/>
    <w:rsid w:val="000444E8"/>
    <w:rsid w:val="000643F7"/>
    <w:rsid w:val="00076BF0"/>
    <w:rsid w:val="00093030"/>
    <w:rsid w:val="00096AD5"/>
    <w:rsid w:val="000A01F4"/>
    <w:rsid w:val="000E21B7"/>
    <w:rsid w:val="000E3980"/>
    <w:rsid w:val="000F039C"/>
    <w:rsid w:val="00137348"/>
    <w:rsid w:val="001774DC"/>
    <w:rsid w:val="001A0905"/>
    <w:rsid w:val="001B7A11"/>
    <w:rsid w:val="0023293B"/>
    <w:rsid w:val="002642F4"/>
    <w:rsid w:val="002C0BE5"/>
    <w:rsid w:val="002E054A"/>
    <w:rsid w:val="0034060E"/>
    <w:rsid w:val="00361655"/>
    <w:rsid w:val="00380127"/>
    <w:rsid w:val="0039519B"/>
    <w:rsid w:val="003D4C49"/>
    <w:rsid w:val="004048E9"/>
    <w:rsid w:val="00417032"/>
    <w:rsid w:val="00433690"/>
    <w:rsid w:val="004C0F1A"/>
    <w:rsid w:val="004D2C10"/>
    <w:rsid w:val="005074E5"/>
    <w:rsid w:val="00521B2B"/>
    <w:rsid w:val="0054405A"/>
    <w:rsid w:val="00545E3F"/>
    <w:rsid w:val="005965AE"/>
    <w:rsid w:val="005D294A"/>
    <w:rsid w:val="005F0D07"/>
    <w:rsid w:val="00642B59"/>
    <w:rsid w:val="00642CD2"/>
    <w:rsid w:val="006600F4"/>
    <w:rsid w:val="0067785B"/>
    <w:rsid w:val="006A4DC0"/>
    <w:rsid w:val="006A6AEC"/>
    <w:rsid w:val="006D20B3"/>
    <w:rsid w:val="006E62D3"/>
    <w:rsid w:val="006F0049"/>
    <w:rsid w:val="007009F2"/>
    <w:rsid w:val="00786334"/>
    <w:rsid w:val="007A3576"/>
    <w:rsid w:val="007D2681"/>
    <w:rsid w:val="007F1E45"/>
    <w:rsid w:val="008021E8"/>
    <w:rsid w:val="00810769"/>
    <w:rsid w:val="008152AF"/>
    <w:rsid w:val="00847F01"/>
    <w:rsid w:val="00874B90"/>
    <w:rsid w:val="008751C6"/>
    <w:rsid w:val="00880F33"/>
    <w:rsid w:val="00896A66"/>
    <w:rsid w:val="008B4803"/>
    <w:rsid w:val="008D6BB7"/>
    <w:rsid w:val="008D6F89"/>
    <w:rsid w:val="009201A7"/>
    <w:rsid w:val="009272EB"/>
    <w:rsid w:val="00941B0E"/>
    <w:rsid w:val="00946A43"/>
    <w:rsid w:val="009573BA"/>
    <w:rsid w:val="00972D8A"/>
    <w:rsid w:val="009B6705"/>
    <w:rsid w:val="009B719C"/>
    <w:rsid w:val="009E3ED8"/>
    <w:rsid w:val="009E40CE"/>
    <w:rsid w:val="009F15DC"/>
    <w:rsid w:val="009F3B82"/>
    <w:rsid w:val="00A04849"/>
    <w:rsid w:val="00A10335"/>
    <w:rsid w:val="00A134D6"/>
    <w:rsid w:val="00A27C71"/>
    <w:rsid w:val="00A34AE8"/>
    <w:rsid w:val="00A62C95"/>
    <w:rsid w:val="00A80F50"/>
    <w:rsid w:val="00A90153"/>
    <w:rsid w:val="00AC18EA"/>
    <w:rsid w:val="00AD5344"/>
    <w:rsid w:val="00AE564E"/>
    <w:rsid w:val="00AF578A"/>
    <w:rsid w:val="00B4610E"/>
    <w:rsid w:val="00B47E3C"/>
    <w:rsid w:val="00B65A9B"/>
    <w:rsid w:val="00B8113D"/>
    <w:rsid w:val="00B84E95"/>
    <w:rsid w:val="00BB291E"/>
    <w:rsid w:val="00C11A88"/>
    <w:rsid w:val="00C17016"/>
    <w:rsid w:val="00C1742E"/>
    <w:rsid w:val="00C67CA9"/>
    <w:rsid w:val="00C87074"/>
    <w:rsid w:val="00CC0CBD"/>
    <w:rsid w:val="00CC7654"/>
    <w:rsid w:val="00CF1C0A"/>
    <w:rsid w:val="00CF6FD1"/>
    <w:rsid w:val="00CF70F0"/>
    <w:rsid w:val="00D852A3"/>
    <w:rsid w:val="00DC6EED"/>
    <w:rsid w:val="00DD391B"/>
    <w:rsid w:val="00DF3C8D"/>
    <w:rsid w:val="00E30D77"/>
    <w:rsid w:val="00E54B40"/>
    <w:rsid w:val="00EA09F5"/>
    <w:rsid w:val="00EC16F3"/>
    <w:rsid w:val="00ED7909"/>
    <w:rsid w:val="00EE5951"/>
    <w:rsid w:val="00F22E22"/>
    <w:rsid w:val="00F51067"/>
    <w:rsid w:val="00F741C1"/>
    <w:rsid w:val="00FA4FF6"/>
    <w:rsid w:val="00FB0030"/>
    <w:rsid w:val="00FC6060"/>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151D"/>
  <w15:docId w15:val="{9C232D8C-E1A4-40DC-89EF-1A124985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53"/>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link w:val="PasusChar"/>
    <w:rsid w:val="00810769"/>
    <w:pPr>
      <w:spacing w:after="0" w:line="240" w:lineRule="auto"/>
      <w:ind w:left="284" w:firstLine="567"/>
      <w:jc w:val="both"/>
    </w:pPr>
    <w:rPr>
      <w:rFonts w:ascii="Arial" w:eastAsia="Times New Roman" w:hAnsi="Arial" w:cs="Arial"/>
      <w:sz w:val="20"/>
      <w:szCs w:val="20"/>
      <w:lang w:val="sr-Cyrl-CS"/>
    </w:rPr>
  </w:style>
  <w:style w:type="character" w:customStyle="1" w:styleId="PasusChar">
    <w:name w:val="Pasus Char"/>
    <w:basedOn w:val="DefaultParagraphFont"/>
    <w:link w:val="Pasus"/>
    <w:rsid w:val="00810769"/>
    <w:rPr>
      <w:rFonts w:ascii="Arial" w:eastAsia="Times New Roman" w:hAnsi="Arial" w:cs="Arial"/>
      <w:sz w:val="20"/>
      <w:szCs w:val="20"/>
      <w:lang w:val="sr-Cyrl-CS"/>
    </w:rPr>
  </w:style>
  <w:style w:type="paragraph" w:customStyle="1" w:styleId="CharCharCharCharChar1Char">
    <w:name w:val="Char Char Char Char Char1 Char"/>
    <w:basedOn w:val="Normal"/>
    <w:rsid w:val="00810769"/>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380127"/>
    <w:pPr>
      <w:ind w:left="720"/>
      <w:contextualSpacing/>
    </w:pPr>
  </w:style>
  <w:style w:type="character" w:styleId="Strong">
    <w:name w:val="Strong"/>
    <w:basedOn w:val="DefaultParagraphFont"/>
    <w:uiPriority w:val="22"/>
    <w:qFormat/>
    <w:rsid w:val="004048E9"/>
    <w:rPr>
      <w:b/>
      <w:bCs/>
    </w:rPr>
  </w:style>
  <w:style w:type="character" w:styleId="CommentReference">
    <w:name w:val="annotation reference"/>
    <w:basedOn w:val="DefaultParagraphFont"/>
    <w:uiPriority w:val="99"/>
    <w:semiHidden/>
    <w:unhideWhenUsed/>
    <w:rsid w:val="009B719C"/>
    <w:rPr>
      <w:sz w:val="16"/>
      <w:szCs w:val="16"/>
    </w:rPr>
  </w:style>
  <w:style w:type="paragraph" w:styleId="CommentText">
    <w:name w:val="annotation text"/>
    <w:basedOn w:val="Normal"/>
    <w:link w:val="CommentTextChar"/>
    <w:uiPriority w:val="99"/>
    <w:semiHidden/>
    <w:unhideWhenUsed/>
    <w:rsid w:val="009B719C"/>
    <w:pPr>
      <w:spacing w:line="240" w:lineRule="auto"/>
    </w:pPr>
    <w:rPr>
      <w:sz w:val="20"/>
      <w:szCs w:val="20"/>
    </w:rPr>
  </w:style>
  <w:style w:type="character" w:customStyle="1" w:styleId="CommentTextChar">
    <w:name w:val="Comment Text Char"/>
    <w:basedOn w:val="DefaultParagraphFont"/>
    <w:link w:val="CommentText"/>
    <w:uiPriority w:val="99"/>
    <w:semiHidden/>
    <w:rsid w:val="009B719C"/>
    <w:rPr>
      <w:sz w:val="20"/>
      <w:szCs w:val="20"/>
    </w:rPr>
  </w:style>
  <w:style w:type="paragraph" w:styleId="CommentSubject">
    <w:name w:val="annotation subject"/>
    <w:basedOn w:val="CommentText"/>
    <w:next w:val="CommentText"/>
    <w:link w:val="CommentSubjectChar"/>
    <w:uiPriority w:val="99"/>
    <w:semiHidden/>
    <w:unhideWhenUsed/>
    <w:rsid w:val="009B719C"/>
    <w:rPr>
      <w:b/>
      <w:bCs/>
    </w:rPr>
  </w:style>
  <w:style w:type="character" w:customStyle="1" w:styleId="CommentSubjectChar">
    <w:name w:val="Comment Subject Char"/>
    <w:basedOn w:val="CommentTextChar"/>
    <w:link w:val="CommentSubject"/>
    <w:uiPriority w:val="99"/>
    <w:semiHidden/>
    <w:rsid w:val="009B719C"/>
    <w:rPr>
      <w:b/>
      <w:bCs/>
      <w:sz w:val="20"/>
      <w:szCs w:val="20"/>
    </w:rPr>
  </w:style>
  <w:style w:type="paragraph" w:styleId="BalloonText">
    <w:name w:val="Balloon Text"/>
    <w:basedOn w:val="Normal"/>
    <w:link w:val="BalloonTextChar"/>
    <w:uiPriority w:val="99"/>
    <w:semiHidden/>
    <w:unhideWhenUsed/>
    <w:rsid w:val="009B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SVE\MMM%20%20zaposleni\LCS\LCS%202016\QR\RAD%201%20zara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00225921126954E-2"/>
          <c:y val="0.11075419144035567"/>
          <c:w val="0.61697009370265776"/>
          <c:h val="0.40858089167425499"/>
        </c:manualLayout>
      </c:layout>
      <c:barChart>
        <c:barDir val="col"/>
        <c:grouping val="clustered"/>
        <c:varyColors val="0"/>
        <c:ser>
          <c:idx val="0"/>
          <c:order val="0"/>
          <c:tx>
            <c:strRef>
              <c:f>'Tabela (53)'!$C$30</c:f>
              <c:strCache>
                <c:ptCount val="1"/>
                <c:pt idx="0">
                  <c:v>ø месечне бруто зараде у години (РАД-1), 2016.</c:v>
                </c:pt>
              </c:strCache>
            </c:strRef>
          </c:tx>
          <c:spPr>
            <a:solidFill>
              <a:schemeClr val="accent1">
                <a:lumMod val="60000"/>
                <a:lumOff val="40000"/>
              </a:schemeClr>
            </a:solidFill>
            <a:ln>
              <a:noFill/>
            </a:ln>
            <a:effectLst/>
          </c:spPr>
          <c:invertIfNegative val="0"/>
          <c:cat>
            <c:strRef>
              <c:f>'Tabela (53)'!$B$31:$B$50</c:f>
              <c:strCache>
                <c:ptCount val="20"/>
                <c:pt idx="0">
                  <c:v>Укупно</c:v>
                </c:pt>
                <c:pt idx="1">
                  <c:v>A - Пољопривреда, шумарство и рибарство</c:v>
                </c:pt>
                <c:pt idx="2">
                  <c:v>B - Рударство</c:v>
                </c:pt>
                <c:pt idx="3">
                  <c:v>C - Прерађивачка индустрија</c:v>
                </c:pt>
                <c:pt idx="4">
                  <c:v>D - Снабдевање електричном енергијом, гасом, паром и климатизација</c:v>
                </c:pt>
                <c:pt idx="5">
                  <c:v>E - Снабдевање водом; управљање отпадним водама, контролисање процеса уклањања отпада и сличне активности</c:v>
                </c:pt>
                <c:pt idx="6">
                  <c:v>F - Грађевинарство</c:v>
                </c:pt>
                <c:pt idx="7">
                  <c:v>G - Трговина на велико и трговина на мало; поправка моторних возила и мотоцикала</c:v>
                </c:pt>
                <c:pt idx="8">
                  <c:v>H - Саобраћај и складиштење</c:v>
                </c:pt>
                <c:pt idx="9">
                  <c:v>I - Услуге смештаја и исхране</c:v>
                </c:pt>
                <c:pt idx="10">
                  <c:v>J - Информисање и комуникације</c:v>
                </c:pt>
                <c:pt idx="11">
                  <c:v>K - Финансијске делатности и делатност осигурања</c:v>
                </c:pt>
                <c:pt idx="12">
                  <c:v>L - Пoсловање некретнинама</c:v>
                </c:pt>
                <c:pt idx="13">
                  <c:v>M - Стручне, научне и техничке делатности</c:v>
                </c:pt>
                <c:pt idx="14">
                  <c:v>N - Административне и помоћне услужне делатности</c:v>
                </c:pt>
                <c:pt idx="15">
                  <c:v>O - Државна управа и одбрана; обавезно социјално осигурање</c:v>
                </c:pt>
                <c:pt idx="16">
                  <c:v>P - Образовање</c:v>
                </c:pt>
                <c:pt idx="17">
                  <c:v>Q - Здравствена и социјална заштита</c:v>
                </c:pt>
                <c:pt idx="18">
                  <c:v>R - Уметност; забава и рекреација</c:v>
                </c:pt>
                <c:pt idx="19">
                  <c:v>S - Остале услужне делатности</c:v>
                </c:pt>
              </c:strCache>
            </c:strRef>
          </c:cat>
          <c:val>
            <c:numRef>
              <c:f>'Tabela (53)'!$C$31:$C$50</c:f>
              <c:numCache>
                <c:formatCode>General</c:formatCode>
                <c:ptCount val="20"/>
                <c:pt idx="0">
                  <c:v>63474</c:v>
                </c:pt>
                <c:pt idx="1">
                  <c:v>54238</c:v>
                </c:pt>
                <c:pt idx="2">
                  <c:v>101952</c:v>
                </c:pt>
                <c:pt idx="3">
                  <c:v>59957</c:v>
                </c:pt>
                <c:pt idx="4">
                  <c:v>106992</c:v>
                </c:pt>
                <c:pt idx="5">
                  <c:v>56571</c:v>
                </c:pt>
                <c:pt idx="6">
                  <c:v>57282</c:v>
                </c:pt>
                <c:pt idx="7">
                  <c:v>49154</c:v>
                </c:pt>
                <c:pt idx="8">
                  <c:v>65330</c:v>
                </c:pt>
                <c:pt idx="9">
                  <c:v>38140</c:v>
                </c:pt>
                <c:pt idx="10">
                  <c:v>117432</c:v>
                </c:pt>
                <c:pt idx="11">
                  <c:v>114545</c:v>
                </c:pt>
                <c:pt idx="12">
                  <c:v>71553</c:v>
                </c:pt>
                <c:pt idx="13">
                  <c:v>99284</c:v>
                </c:pt>
                <c:pt idx="14">
                  <c:v>49361</c:v>
                </c:pt>
                <c:pt idx="15">
                  <c:v>67598</c:v>
                </c:pt>
                <c:pt idx="16">
                  <c:v>56718</c:v>
                </c:pt>
                <c:pt idx="17">
                  <c:v>57583</c:v>
                </c:pt>
                <c:pt idx="18">
                  <c:v>51310</c:v>
                </c:pt>
                <c:pt idx="19">
                  <c:v>47197</c:v>
                </c:pt>
              </c:numCache>
            </c:numRef>
          </c:val>
          <c:extLst>
            <c:ext xmlns:c16="http://schemas.microsoft.com/office/drawing/2014/chart" uri="{C3380CC4-5D6E-409C-BE32-E72D297353CC}">
              <c16:uniqueId val="{00000000-3870-4E70-ADC6-A72C426D4A47}"/>
            </c:ext>
          </c:extLst>
        </c:ser>
        <c:ser>
          <c:idx val="1"/>
          <c:order val="1"/>
          <c:tx>
            <c:strRef>
              <c:f>'Tabela (53)'!$D$30</c:f>
              <c:strCache>
                <c:ptCount val="1"/>
                <c:pt idx="0">
                  <c:v>ø месечни трошкови за зараде, накнаде зарада и остале исплате запосленима ( D11 ), (ИТР), 2016.</c:v>
                </c:pt>
              </c:strCache>
            </c:strRef>
          </c:tx>
          <c:spPr>
            <a:solidFill>
              <a:schemeClr val="accent2">
                <a:lumMod val="60000"/>
                <a:lumOff val="40000"/>
              </a:schemeClr>
            </a:solidFill>
            <a:ln>
              <a:noFill/>
            </a:ln>
            <a:effectLst/>
          </c:spPr>
          <c:invertIfNegative val="0"/>
          <c:cat>
            <c:strRef>
              <c:f>'Tabela (53)'!$B$31:$B$50</c:f>
              <c:strCache>
                <c:ptCount val="20"/>
                <c:pt idx="0">
                  <c:v>Укупно</c:v>
                </c:pt>
                <c:pt idx="1">
                  <c:v>A - Пољопривреда, шумарство и рибарство</c:v>
                </c:pt>
                <c:pt idx="2">
                  <c:v>B - Рударство</c:v>
                </c:pt>
                <c:pt idx="3">
                  <c:v>C - Прерађивачка индустрија</c:v>
                </c:pt>
                <c:pt idx="4">
                  <c:v>D - Снабдевање електричном енергијом, гасом, паром и климатизација</c:v>
                </c:pt>
                <c:pt idx="5">
                  <c:v>E - Снабдевање водом; управљање отпадним водама, контролисање процеса уклањања отпада и сличне активности</c:v>
                </c:pt>
                <c:pt idx="6">
                  <c:v>F - Грађевинарство</c:v>
                </c:pt>
                <c:pt idx="7">
                  <c:v>G - Трговина на велико и трговина на мало; поправка моторних возила и мотоцикала</c:v>
                </c:pt>
                <c:pt idx="8">
                  <c:v>H - Саобраћај и складиштење</c:v>
                </c:pt>
                <c:pt idx="9">
                  <c:v>I - Услуге смештаја и исхране</c:v>
                </c:pt>
                <c:pt idx="10">
                  <c:v>J - Информисање и комуникације</c:v>
                </c:pt>
                <c:pt idx="11">
                  <c:v>K - Финансијске делатности и делатност осигурања</c:v>
                </c:pt>
                <c:pt idx="12">
                  <c:v>L - Пoсловање некретнинама</c:v>
                </c:pt>
                <c:pt idx="13">
                  <c:v>M - Стручне, научне и техничке делатности</c:v>
                </c:pt>
                <c:pt idx="14">
                  <c:v>N - Административне и помоћне услужне делатности</c:v>
                </c:pt>
                <c:pt idx="15">
                  <c:v>O - Државна управа и одбрана; обавезно социјално осигурање</c:v>
                </c:pt>
                <c:pt idx="16">
                  <c:v>P - Образовање</c:v>
                </c:pt>
                <c:pt idx="17">
                  <c:v>Q - Здравствена и социјална заштита</c:v>
                </c:pt>
                <c:pt idx="18">
                  <c:v>R - Уметност; забава и рекреација</c:v>
                </c:pt>
                <c:pt idx="19">
                  <c:v>S - Остале услужне делатности</c:v>
                </c:pt>
              </c:strCache>
            </c:strRef>
          </c:cat>
          <c:val>
            <c:numRef>
              <c:f>'Tabela (53)'!$D$31:$D$50</c:f>
              <c:numCache>
                <c:formatCode>General</c:formatCode>
                <c:ptCount val="20"/>
                <c:pt idx="0">
                  <c:v>72185</c:v>
                </c:pt>
                <c:pt idx="1">
                  <c:v>63256</c:v>
                </c:pt>
                <c:pt idx="2">
                  <c:v>111107</c:v>
                </c:pt>
                <c:pt idx="3">
                  <c:v>61876</c:v>
                </c:pt>
                <c:pt idx="4">
                  <c:v>109499</c:v>
                </c:pt>
                <c:pt idx="5">
                  <c:v>65428</c:v>
                </c:pt>
                <c:pt idx="6">
                  <c:v>62378</c:v>
                </c:pt>
                <c:pt idx="7">
                  <c:v>62267</c:v>
                </c:pt>
                <c:pt idx="8">
                  <c:v>66611</c:v>
                </c:pt>
                <c:pt idx="9">
                  <c:v>47741</c:v>
                </c:pt>
                <c:pt idx="10">
                  <c:v>114450</c:v>
                </c:pt>
                <c:pt idx="11">
                  <c:v>128578</c:v>
                </c:pt>
                <c:pt idx="12">
                  <c:v>62866</c:v>
                </c:pt>
                <c:pt idx="13">
                  <c:v>117471</c:v>
                </c:pt>
                <c:pt idx="14">
                  <c:v>60075</c:v>
                </c:pt>
                <c:pt idx="15">
                  <c:v>84794</c:v>
                </c:pt>
                <c:pt idx="16">
                  <c:v>66646</c:v>
                </c:pt>
                <c:pt idx="17">
                  <c:v>65848</c:v>
                </c:pt>
                <c:pt idx="18">
                  <c:v>57471</c:v>
                </c:pt>
                <c:pt idx="19">
                  <c:v>64064</c:v>
                </c:pt>
              </c:numCache>
            </c:numRef>
          </c:val>
          <c:extLst>
            <c:ext xmlns:c16="http://schemas.microsoft.com/office/drawing/2014/chart" uri="{C3380CC4-5D6E-409C-BE32-E72D297353CC}">
              <c16:uniqueId val="{00000001-3870-4E70-ADC6-A72C426D4A47}"/>
            </c:ext>
          </c:extLst>
        </c:ser>
        <c:dLbls>
          <c:showLegendKey val="0"/>
          <c:showVal val="0"/>
          <c:showCatName val="0"/>
          <c:showSerName val="0"/>
          <c:showPercent val="0"/>
          <c:showBubbleSize val="0"/>
        </c:dLbls>
        <c:gapWidth val="219"/>
        <c:overlap val="-27"/>
        <c:axId val="278473344"/>
        <c:axId val="278483712"/>
      </c:barChart>
      <c:lineChart>
        <c:grouping val="standard"/>
        <c:varyColors val="0"/>
        <c:ser>
          <c:idx val="2"/>
          <c:order val="2"/>
          <c:tx>
            <c:strRef>
              <c:f>'Tabela (53)'!$E$30</c:f>
              <c:strCache>
                <c:ptCount val="1"/>
                <c:pt idx="0">
                  <c:v>Индекс ø месечних зарада у години (РАД-1), 2012=100</c:v>
                </c:pt>
              </c:strCache>
            </c:strRef>
          </c:tx>
          <c:spPr>
            <a:ln w="0" cap="rnd">
              <a:solidFill>
                <a:schemeClr val="accent1"/>
              </a:solidFill>
              <a:round/>
            </a:ln>
            <a:effectLst/>
          </c:spPr>
          <c:marker>
            <c:symbol val="circle"/>
            <c:size val="5"/>
            <c:spPr>
              <a:solidFill>
                <a:schemeClr val="accent1">
                  <a:lumMod val="75000"/>
                </a:schemeClr>
              </a:solidFill>
              <a:ln w="9525">
                <a:solidFill>
                  <a:schemeClr val="accent3"/>
                </a:solidFill>
              </a:ln>
              <a:effectLst/>
            </c:spPr>
          </c:marker>
          <c:cat>
            <c:strRef>
              <c:f>'Tabela (53)'!$B$31:$B$50</c:f>
              <c:strCache>
                <c:ptCount val="20"/>
                <c:pt idx="0">
                  <c:v>Укупно</c:v>
                </c:pt>
                <c:pt idx="1">
                  <c:v>A - Пољопривреда, шумарство и рибарство</c:v>
                </c:pt>
                <c:pt idx="2">
                  <c:v>B - Рударство</c:v>
                </c:pt>
                <c:pt idx="3">
                  <c:v>C - Прерађивачка индустрија</c:v>
                </c:pt>
                <c:pt idx="4">
                  <c:v>D - Снабдевање електричном енергијом, гасом, паром и климатизација</c:v>
                </c:pt>
                <c:pt idx="5">
                  <c:v>E - Снабдевање водом; управљање отпадним водама, контролисање процеса уклањања отпада и сличне активности</c:v>
                </c:pt>
                <c:pt idx="6">
                  <c:v>F - Грађевинарство</c:v>
                </c:pt>
                <c:pt idx="7">
                  <c:v>G - Трговина на велико и трговина на мало; поправка моторних возила и мотоцикала</c:v>
                </c:pt>
                <c:pt idx="8">
                  <c:v>H - Саобраћај и складиштење</c:v>
                </c:pt>
                <c:pt idx="9">
                  <c:v>I - Услуге смештаја и исхране</c:v>
                </c:pt>
                <c:pt idx="10">
                  <c:v>J - Информисање и комуникације</c:v>
                </c:pt>
                <c:pt idx="11">
                  <c:v>K - Финансијске делатности и делатност осигурања</c:v>
                </c:pt>
                <c:pt idx="12">
                  <c:v>L - Пoсловање некретнинама</c:v>
                </c:pt>
                <c:pt idx="13">
                  <c:v>M - Стручне, научне и техничке делатности</c:v>
                </c:pt>
                <c:pt idx="14">
                  <c:v>N - Административне и помоћне услужне делатности</c:v>
                </c:pt>
                <c:pt idx="15">
                  <c:v>O - Државна управа и одбрана; обавезно социјално осигурање</c:v>
                </c:pt>
                <c:pt idx="16">
                  <c:v>P - Образовање</c:v>
                </c:pt>
                <c:pt idx="17">
                  <c:v>Q - Здравствена и социјална заштита</c:v>
                </c:pt>
                <c:pt idx="18">
                  <c:v>R - Уметност; забава и рекреација</c:v>
                </c:pt>
                <c:pt idx="19">
                  <c:v>S - Остале услужне делатности</c:v>
                </c:pt>
              </c:strCache>
            </c:strRef>
          </c:cat>
          <c:val>
            <c:numRef>
              <c:f>'Tabela (53)'!$E$31:$E$50</c:f>
              <c:numCache>
                <c:formatCode>0.0</c:formatCode>
                <c:ptCount val="20"/>
                <c:pt idx="0">
                  <c:v>110.52411631551453</c:v>
                </c:pt>
                <c:pt idx="1">
                  <c:v>108.58893248978939</c:v>
                </c:pt>
                <c:pt idx="2">
                  <c:v>113.8861272773986</c:v>
                </c:pt>
                <c:pt idx="3">
                  <c:v>121.77471768624584</c:v>
                </c:pt>
                <c:pt idx="4">
                  <c:v>107.89834610730134</c:v>
                </c:pt>
                <c:pt idx="5">
                  <c:v>107.33109454152201</c:v>
                </c:pt>
                <c:pt idx="6">
                  <c:v>118.9434996573849</c:v>
                </c:pt>
                <c:pt idx="7">
                  <c:v>115.39039391520728</c:v>
                </c:pt>
                <c:pt idx="8">
                  <c:v>108.59916551689746</c:v>
                </c:pt>
                <c:pt idx="9">
                  <c:v>121.84135705842891</c:v>
                </c:pt>
                <c:pt idx="10">
                  <c:v>139.77670388268621</c:v>
                </c:pt>
                <c:pt idx="11">
                  <c:v>108.66203730054831</c:v>
                </c:pt>
                <c:pt idx="12">
                  <c:v>114.74182168056446</c:v>
                </c:pt>
                <c:pt idx="13">
                  <c:v>126.3750111375584</c:v>
                </c:pt>
                <c:pt idx="14">
                  <c:v>114.22984356197352</c:v>
                </c:pt>
                <c:pt idx="15">
                  <c:v>94.94101123595506</c:v>
                </c:pt>
                <c:pt idx="16">
                  <c:v>99.669630618915406</c:v>
                </c:pt>
                <c:pt idx="17">
                  <c:v>99.61939691711504</c:v>
                </c:pt>
                <c:pt idx="18">
                  <c:v>93.653603957143119</c:v>
                </c:pt>
                <c:pt idx="19">
                  <c:v>118.80034232782923</c:v>
                </c:pt>
              </c:numCache>
            </c:numRef>
          </c:val>
          <c:smooth val="0"/>
          <c:extLst>
            <c:ext xmlns:c16="http://schemas.microsoft.com/office/drawing/2014/chart" uri="{C3380CC4-5D6E-409C-BE32-E72D297353CC}">
              <c16:uniqueId val="{00000002-3870-4E70-ADC6-A72C426D4A47}"/>
            </c:ext>
          </c:extLst>
        </c:ser>
        <c:ser>
          <c:idx val="3"/>
          <c:order val="3"/>
          <c:tx>
            <c:strRef>
              <c:f>'Tabela (53)'!$F$30</c:f>
              <c:strCache>
                <c:ptCount val="1"/>
                <c:pt idx="0">
                  <c:v>Индекс ø месечних трошкова за зараде, накнаде зарада и остале исплате запосленима (D11)  (ИТР), 2012=100</c:v>
                </c:pt>
              </c:strCache>
            </c:strRef>
          </c:tx>
          <c:spPr>
            <a:ln w="9525" cap="rnd">
              <a:solidFill>
                <a:schemeClr val="accent2">
                  <a:lumMod val="75000"/>
                </a:schemeClr>
              </a:solidFill>
              <a:round/>
            </a:ln>
            <a:effectLst/>
          </c:spPr>
          <c:marker>
            <c:symbol val="diamond"/>
            <c:size val="7"/>
            <c:spPr>
              <a:solidFill>
                <a:schemeClr val="accent2">
                  <a:lumMod val="75000"/>
                  <a:alpha val="85000"/>
                </a:schemeClr>
              </a:solidFill>
              <a:ln w="9525">
                <a:solidFill>
                  <a:schemeClr val="accent4"/>
                </a:solidFill>
              </a:ln>
              <a:effectLst/>
            </c:spPr>
          </c:marker>
          <c:cat>
            <c:strRef>
              <c:f>'Tabela (53)'!$B$31:$B$50</c:f>
              <c:strCache>
                <c:ptCount val="20"/>
                <c:pt idx="0">
                  <c:v>Укупно</c:v>
                </c:pt>
                <c:pt idx="1">
                  <c:v>A - Пољопривреда, шумарство и рибарство</c:v>
                </c:pt>
                <c:pt idx="2">
                  <c:v>B - Рударство</c:v>
                </c:pt>
                <c:pt idx="3">
                  <c:v>C - Прерађивачка индустрија</c:v>
                </c:pt>
                <c:pt idx="4">
                  <c:v>D - Снабдевање електричном енергијом, гасом, паром и климатизација</c:v>
                </c:pt>
                <c:pt idx="5">
                  <c:v>E - Снабдевање водом; управљање отпадним водама, контролисање процеса уклањања отпада и сличне активности</c:v>
                </c:pt>
                <c:pt idx="6">
                  <c:v>F - Грађевинарство</c:v>
                </c:pt>
                <c:pt idx="7">
                  <c:v>G - Трговина на велико и трговина на мало; поправка моторних возила и мотоцикала</c:v>
                </c:pt>
                <c:pt idx="8">
                  <c:v>H - Саобраћај и складиштење</c:v>
                </c:pt>
                <c:pt idx="9">
                  <c:v>I - Услуге смештаја и исхране</c:v>
                </c:pt>
                <c:pt idx="10">
                  <c:v>J - Информисање и комуникације</c:v>
                </c:pt>
                <c:pt idx="11">
                  <c:v>K - Финансијске делатности и делатност осигурања</c:v>
                </c:pt>
                <c:pt idx="12">
                  <c:v>L - Пoсловање некретнинама</c:v>
                </c:pt>
                <c:pt idx="13">
                  <c:v>M - Стручне, научне и техничке делатности</c:v>
                </c:pt>
                <c:pt idx="14">
                  <c:v>N - Административне и помоћне услужне делатности</c:v>
                </c:pt>
                <c:pt idx="15">
                  <c:v>O - Државна управа и одбрана; обавезно социјално осигурање</c:v>
                </c:pt>
                <c:pt idx="16">
                  <c:v>P - Образовање</c:v>
                </c:pt>
                <c:pt idx="17">
                  <c:v>Q - Здравствена и социјална заштита</c:v>
                </c:pt>
                <c:pt idx="18">
                  <c:v>R - Уметност; забава и рекреација</c:v>
                </c:pt>
                <c:pt idx="19">
                  <c:v>S - Остале услужне делатности</c:v>
                </c:pt>
              </c:strCache>
            </c:strRef>
          </c:cat>
          <c:val>
            <c:numRef>
              <c:f>'Tabela (53)'!$F$31:$F$50</c:f>
              <c:numCache>
                <c:formatCode>0.0</c:formatCode>
                <c:ptCount val="20"/>
                <c:pt idx="0">
                  <c:v>105.17995045898296</c:v>
                </c:pt>
                <c:pt idx="1">
                  <c:v>116.60307102435068</c:v>
                </c:pt>
                <c:pt idx="2">
                  <c:v>112.1590519068866</c:v>
                </c:pt>
                <c:pt idx="3">
                  <c:v>107.63851439505959</c:v>
                </c:pt>
                <c:pt idx="4">
                  <c:v>100.39792784119561</c:v>
                </c:pt>
                <c:pt idx="5">
                  <c:v>114.44664066189718</c:v>
                </c:pt>
                <c:pt idx="6">
                  <c:v>103.6110557438044</c:v>
                </c:pt>
                <c:pt idx="7">
                  <c:v>104.75958141256436</c:v>
                </c:pt>
                <c:pt idx="8">
                  <c:v>102.88366489558878</c:v>
                </c:pt>
                <c:pt idx="9">
                  <c:v>93.810300446051372</c:v>
                </c:pt>
                <c:pt idx="10">
                  <c:v>138.76259411486561</c:v>
                </c:pt>
                <c:pt idx="11">
                  <c:v>109.72972511670378</c:v>
                </c:pt>
                <c:pt idx="12">
                  <c:v>78.439348189554053</c:v>
                </c:pt>
                <c:pt idx="13">
                  <c:v>112.59021421383044</c:v>
                </c:pt>
                <c:pt idx="14">
                  <c:v>130.55525372161253</c:v>
                </c:pt>
                <c:pt idx="15">
                  <c:v>103.05542051531356</c:v>
                </c:pt>
                <c:pt idx="16">
                  <c:v>96.145301364724887</c:v>
                </c:pt>
                <c:pt idx="17">
                  <c:v>100.16275992151016</c:v>
                </c:pt>
                <c:pt idx="18">
                  <c:v>104.5706799614258</c:v>
                </c:pt>
                <c:pt idx="19">
                  <c:v>96.631823461091756</c:v>
                </c:pt>
              </c:numCache>
            </c:numRef>
          </c:val>
          <c:smooth val="0"/>
          <c:extLst>
            <c:ext xmlns:c16="http://schemas.microsoft.com/office/drawing/2014/chart" uri="{C3380CC4-5D6E-409C-BE32-E72D297353CC}">
              <c16:uniqueId val="{00000003-3870-4E70-ADC6-A72C426D4A47}"/>
            </c:ext>
          </c:extLst>
        </c:ser>
        <c:dLbls>
          <c:showLegendKey val="0"/>
          <c:showVal val="0"/>
          <c:showCatName val="0"/>
          <c:showSerName val="0"/>
          <c:showPercent val="0"/>
          <c:showBubbleSize val="0"/>
        </c:dLbls>
        <c:marker val="1"/>
        <c:smooth val="0"/>
        <c:axId val="278496000"/>
        <c:axId val="278485632"/>
      </c:lineChart>
      <c:catAx>
        <c:axId val="278473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483712"/>
        <c:crosses val="autoZero"/>
        <c:auto val="0"/>
        <c:lblAlgn val="ctr"/>
        <c:lblOffset val="100"/>
        <c:noMultiLvlLbl val="0"/>
      </c:catAx>
      <c:valAx>
        <c:axId val="2784837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sr-Cyrl-RS"/>
                  <a:t>РСД</a:t>
                </a:r>
                <a:endParaRPr lang="en-US"/>
              </a:p>
            </c:rich>
          </c:tx>
          <c:layout>
            <c:manualLayout>
              <c:xMode val="edge"/>
              <c:yMode val="edge"/>
              <c:x val="7.91765637371338E-3"/>
              <c:y val="4.997357473172994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473344"/>
        <c:crosses val="autoZero"/>
        <c:crossBetween val="between"/>
      </c:valAx>
      <c:valAx>
        <c:axId val="278485632"/>
        <c:scaling>
          <c:orientation val="minMax"/>
          <c:min val="70"/>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sr-Cyrl-RS"/>
                  <a:t>2012 =100</a:t>
                </a:r>
                <a:endParaRPr lang="en-US"/>
              </a:p>
            </c:rich>
          </c:tx>
          <c:layout>
            <c:manualLayout>
              <c:xMode val="edge"/>
              <c:yMode val="edge"/>
              <c:x val="0.66972010253272152"/>
              <c:y val="3.3856300506815346E-2"/>
            </c:manualLayout>
          </c:layout>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496000"/>
        <c:crosses val="max"/>
        <c:crossBetween val="between"/>
      </c:valAx>
      <c:catAx>
        <c:axId val="278496000"/>
        <c:scaling>
          <c:orientation val="minMax"/>
        </c:scaling>
        <c:delete val="1"/>
        <c:axPos val="t"/>
        <c:numFmt formatCode="General" sourceLinked="1"/>
        <c:majorTickMark val="out"/>
        <c:minorTickMark val="none"/>
        <c:tickLblPos val="nextTo"/>
        <c:crossAx val="278485632"/>
        <c:crosses val="max"/>
        <c:auto val="1"/>
        <c:lblAlgn val="ctr"/>
        <c:lblOffset val="100"/>
        <c:noMultiLvlLbl val="0"/>
      </c:catAx>
      <c:spPr>
        <a:noFill/>
        <a:ln>
          <a:noFill/>
        </a:ln>
        <a:effectLst/>
      </c:spPr>
    </c:plotArea>
    <c:legend>
      <c:legendPos val="r"/>
      <c:layout>
        <c:manualLayout>
          <c:xMode val="edge"/>
          <c:yMode val="edge"/>
          <c:x val="0.75536792467902125"/>
          <c:y val="0.23726640678790892"/>
          <c:w val="0.23248084962588011"/>
          <c:h val="0.5826046892067485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7DDC-FF2C-4F72-8146-1F25BB9C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 Smiljkovic</dc:creator>
  <cp:keywords/>
  <dc:description/>
  <cp:lastModifiedBy>Milijana Smiljkovic</cp:lastModifiedBy>
  <cp:revision>5</cp:revision>
  <dcterms:created xsi:type="dcterms:W3CDTF">2018-07-16T07:39:00Z</dcterms:created>
  <dcterms:modified xsi:type="dcterms:W3CDTF">2018-07-16T08:01:00Z</dcterms:modified>
</cp:coreProperties>
</file>