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ABD8C" w14:textId="77777777" w:rsidR="005D294A" w:rsidRDefault="009B6705" w:rsidP="00EB2FB0">
      <w:pPr>
        <w:rPr>
          <w:rFonts w:ascii="Arial" w:hAnsi="Arial" w:cs="Arial"/>
          <w:b/>
          <w:sz w:val="20"/>
          <w:szCs w:val="20"/>
        </w:rPr>
      </w:pPr>
      <w:r w:rsidRPr="00973584">
        <w:rPr>
          <w:rFonts w:ascii="Arial" w:hAnsi="Arial" w:cs="Arial"/>
          <w:b/>
          <w:sz w:val="20"/>
          <w:szCs w:val="20"/>
        </w:rPr>
        <w:t xml:space="preserve">Кохерентност са </w:t>
      </w:r>
      <w:r w:rsidR="008E2CBE" w:rsidRPr="00973584">
        <w:rPr>
          <w:rFonts w:ascii="Arial" w:hAnsi="Arial" w:cs="Arial"/>
          <w:b/>
          <w:sz w:val="20"/>
          <w:szCs w:val="20"/>
        </w:rPr>
        <w:t xml:space="preserve">индексом трошкова рада </w:t>
      </w:r>
    </w:p>
    <w:p w14:paraId="50668198" w14:textId="77777777" w:rsidR="00330980" w:rsidRPr="00973584" w:rsidRDefault="00330980" w:rsidP="00EB2FB0">
      <w:pPr>
        <w:rPr>
          <w:rFonts w:ascii="Arial" w:hAnsi="Arial" w:cs="Arial"/>
          <w:b/>
          <w:sz w:val="20"/>
          <w:szCs w:val="20"/>
        </w:rPr>
      </w:pPr>
    </w:p>
    <w:p w14:paraId="078686FA" w14:textId="6E700839" w:rsidR="005E2463" w:rsidRPr="00350BD9" w:rsidRDefault="009B6705" w:rsidP="005E2463">
      <w:pPr>
        <w:jc w:val="both"/>
        <w:rPr>
          <w:rFonts w:ascii="Arial" w:hAnsi="Arial" w:cs="Arial"/>
          <w:color w:val="222222"/>
          <w:sz w:val="20"/>
          <w:szCs w:val="20"/>
          <w:shd w:val="clear" w:color="auto" w:fill="FFFFFF"/>
        </w:rPr>
      </w:pPr>
      <w:r w:rsidRPr="003C0133">
        <w:rPr>
          <w:rFonts w:ascii="Arial" w:hAnsi="Arial" w:cs="Arial"/>
          <w:color w:val="222222"/>
          <w:sz w:val="20"/>
          <w:szCs w:val="20"/>
          <w:shd w:val="clear" w:color="auto" w:fill="FFFFFF"/>
        </w:rPr>
        <w:t>Разлике</w:t>
      </w:r>
      <w:r w:rsidR="008E2CBE" w:rsidRPr="003C0133">
        <w:rPr>
          <w:rFonts w:ascii="Arial" w:hAnsi="Arial" w:cs="Arial"/>
          <w:color w:val="222222"/>
          <w:sz w:val="20"/>
          <w:szCs w:val="20"/>
          <w:shd w:val="clear" w:color="auto" w:fill="FFFFFF"/>
        </w:rPr>
        <w:t xml:space="preserve"> у просечним годишњим стопама раста трошкова рада (</w:t>
      </w:r>
      <w:r w:rsidRPr="003C0133">
        <w:rPr>
          <w:rFonts w:ascii="Arial" w:hAnsi="Arial" w:cs="Arial"/>
          <w:color w:val="222222"/>
          <w:sz w:val="20"/>
          <w:szCs w:val="20"/>
          <w:shd w:val="clear" w:color="auto" w:fill="FFFFFF"/>
        </w:rPr>
        <w:t>D</w:t>
      </w:r>
      <w:r w:rsidR="008E2CBE" w:rsidRPr="003C0133">
        <w:rPr>
          <w:rFonts w:ascii="Arial" w:hAnsi="Arial" w:cs="Arial"/>
          <w:color w:val="222222"/>
          <w:sz w:val="20"/>
          <w:szCs w:val="20"/>
          <w:shd w:val="clear" w:color="auto" w:fill="FFFFFF"/>
        </w:rPr>
        <w:t>)</w:t>
      </w:r>
      <w:r w:rsidR="00680030" w:rsidRPr="003C0133">
        <w:rPr>
          <w:rFonts w:ascii="Arial" w:hAnsi="Arial" w:cs="Arial"/>
          <w:color w:val="222222"/>
          <w:sz w:val="20"/>
          <w:szCs w:val="20"/>
          <w:shd w:val="clear" w:color="auto" w:fill="FFFFFF"/>
        </w:rPr>
        <w:t>, из</w:t>
      </w:r>
      <w:r w:rsidR="008E2CBE" w:rsidRPr="003C0133">
        <w:rPr>
          <w:rFonts w:ascii="Arial" w:hAnsi="Arial" w:cs="Arial"/>
          <w:color w:val="222222"/>
          <w:sz w:val="20"/>
          <w:szCs w:val="20"/>
          <w:shd w:val="clear" w:color="auto" w:fill="FFFFFF"/>
        </w:rPr>
        <w:t xml:space="preserve"> Истраживања о трошковима рада и на основу </w:t>
      </w:r>
      <w:r w:rsidR="00680030" w:rsidRPr="003C0133">
        <w:rPr>
          <w:rFonts w:ascii="Arial" w:hAnsi="Arial" w:cs="Arial"/>
          <w:color w:val="222222"/>
          <w:sz w:val="20"/>
          <w:szCs w:val="20"/>
          <w:shd w:val="clear" w:color="auto" w:fill="FFFFFF"/>
        </w:rPr>
        <w:t xml:space="preserve">података </w:t>
      </w:r>
      <w:r w:rsidR="008E2CBE" w:rsidRPr="003C0133">
        <w:rPr>
          <w:rFonts w:ascii="Arial" w:hAnsi="Arial" w:cs="Arial"/>
          <w:color w:val="222222"/>
          <w:sz w:val="20"/>
          <w:szCs w:val="20"/>
          <w:shd w:val="clear" w:color="auto" w:fill="FFFFFF"/>
        </w:rPr>
        <w:t>недесезонираног индекса тро</w:t>
      </w:r>
      <w:r w:rsidR="00837B47" w:rsidRPr="003C0133">
        <w:rPr>
          <w:rFonts w:ascii="Arial" w:hAnsi="Arial" w:cs="Arial"/>
          <w:color w:val="222222"/>
          <w:sz w:val="20"/>
          <w:szCs w:val="20"/>
          <w:shd w:val="clear" w:color="auto" w:fill="FFFFFF"/>
        </w:rPr>
        <w:t>ш</w:t>
      </w:r>
      <w:r w:rsidR="008E2CBE" w:rsidRPr="003C0133">
        <w:rPr>
          <w:rFonts w:ascii="Arial" w:hAnsi="Arial" w:cs="Arial"/>
          <w:color w:val="222222"/>
          <w:sz w:val="20"/>
          <w:szCs w:val="20"/>
          <w:shd w:val="clear" w:color="auto" w:fill="FFFFFF"/>
        </w:rPr>
        <w:t>кова рада, у 2016.</w:t>
      </w:r>
      <w:r w:rsidR="00837B47" w:rsidRPr="003C0133">
        <w:rPr>
          <w:rFonts w:ascii="Arial" w:hAnsi="Arial" w:cs="Arial"/>
          <w:color w:val="222222"/>
          <w:sz w:val="20"/>
          <w:szCs w:val="20"/>
          <w:shd w:val="clear" w:color="auto" w:fill="FFFFFF"/>
        </w:rPr>
        <w:t xml:space="preserve"> </w:t>
      </w:r>
      <w:r w:rsidR="008E2CBE" w:rsidRPr="003C0133">
        <w:rPr>
          <w:rFonts w:ascii="Arial" w:hAnsi="Arial" w:cs="Arial"/>
          <w:color w:val="222222"/>
          <w:sz w:val="20"/>
          <w:szCs w:val="20"/>
          <w:shd w:val="clear" w:color="auto" w:fill="FFFFFF"/>
        </w:rPr>
        <w:t>у односу на 2012. годину</w:t>
      </w:r>
      <w:r w:rsidR="00837B47" w:rsidRPr="003C0133">
        <w:rPr>
          <w:rFonts w:ascii="Arial" w:hAnsi="Arial" w:cs="Arial"/>
          <w:color w:val="222222"/>
          <w:sz w:val="20"/>
          <w:szCs w:val="20"/>
          <w:shd w:val="clear" w:color="auto" w:fill="FFFFFF"/>
        </w:rPr>
        <w:t>,</w:t>
      </w:r>
      <w:r w:rsidR="008E2CBE" w:rsidRPr="003C0133">
        <w:rPr>
          <w:rFonts w:ascii="Arial" w:hAnsi="Arial" w:cs="Arial"/>
          <w:color w:val="222222"/>
          <w:sz w:val="20"/>
          <w:szCs w:val="20"/>
          <w:shd w:val="clear" w:color="auto" w:fill="FFFFFF"/>
        </w:rPr>
        <w:t xml:space="preserve"> </w:t>
      </w:r>
      <w:r w:rsidRPr="003C0133">
        <w:rPr>
          <w:rFonts w:ascii="Arial" w:hAnsi="Arial" w:cs="Arial"/>
          <w:color w:val="222222"/>
          <w:sz w:val="20"/>
          <w:szCs w:val="20"/>
          <w:shd w:val="clear" w:color="auto" w:fill="FFFFFF"/>
        </w:rPr>
        <w:t xml:space="preserve">могу </w:t>
      </w:r>
      <w:r w:rsidR="00837B47" w:rsidRPr="003C0133">
        <w:rPr>
          <w:rFonts w:ascii="Arial" w:hAnsi="Arial" w:cs="Arial"/>
          <w:color w:val="222222"/>
          <w:sz w:val="20"/>
          <w:szCs w:val="20"/>
          <w:shd w:val="clear" w:color="auto" w:fill="FFFFFF"/>
        </w:rPr>
        <w:t xml:space="preserve">се </w:t>
      </w:r>
      <w:r w:rsidRPr="003C0133">
        <w:rPr>
          <w:rFonts w:ascii="Arial" w:hAnsi="Arial" w:cs="Arial"/>
          <w:color w:val="222222"/>
          <w:sz w:val="20"/>
          <w:szCs w:val="20"/>
          <w:shd w:val="clear" w:color="auto" w:fill="FFFFFF"/>
        </w:rPr>
        <w:t>објаснити разликама у методологији</w:t>
      </w:r>
      <w:r w:rsidR="00350BD9" w:rsidRPr="003C0133">
        <w:rPr>
          <w:rFonts w:ascii="Arial" w:hAnsi="Arial" w:cs="Arial"/>
          <w:color w:val="222222"/>
          <w:sz w:val="20"/>
          <w:szCs w:val="20"/>
          <w:shd w:val="clear" w:color="auto" w:fill="FFFFFF"/>
        </w:rPr>
        <w:t>,</w:t>
      </w:r>
      <w:r w:rsidRPr="003C0133">
        <w:rPr>
          <w:rFonts w:ascii="Arial" w:hAnsi="Arial" w:cs="Arial"/>
          <w:color w:val="222222"/>
          <w:sz w:val="20"/>
          <w:szCs w:val="20"/>
          <w:shd w:val="clear" w:color="auto" w:fill="FFFFFF"/>
        </w:rPr>
        <w:t xml:space="preserve"> тј. дефиницији</w:t>
      </w:r>
      <w:r w:rsidR="00680030" w:rsidRPr="003C0133">
        <w:rPr>
          <w:rFonts w:ascii="Arial" w:hAnsi="Arial" w:cs="Arial"/>
          <w:color w:val="222222"/>
          <w:sz w:val="20"/>
          <w:szCs w:val="20"/>
          <w:shd w:val="clear" w:color="auto" w:fill="FFFFFF"/>
        </w:rPr>
        <w:t xml:space="preserve"> основних варијабли, </w:t>
      </w:r>
      <w:r w:rsidR="00C47165">
        <w:rPr>
          <w:rFonts w:ascii="Arial" w:hAnsi="Arial" w:cs="Arial"/>
          <w:color w:val="222222"/>
          <w:sz w:val="20"/>
          <w:szCs w:val="20"/>
          <w:shd w:val="clear" w:color="auto" w:fill="FFFFFF"/>
        </w:rPr>
        <w:t>методол</w:t>
      </w:r>
      <w:r w:rsidR="00F43C33">
        <w:rPr>
          <w:rFonts w:ascii="Arial" w:hAnsi="Arial" w:cs="Arial"/>
          <w:color w:val="222222"/>
          <w:sz w:val="20"/>
          <w:szCs w:val="20"/>
          <w:shd w:val="clear" w:color="auto" w:fill="FFFFFF"/>
        </w:rPr>
        <w:t>о</w:t>
      </w:r>
      <w:r w:rsidR="00C47165">
        <w:rPr>
          <w:rFonts w:ascii="Arial" w:hAnsi="Arial" w:cs="Arial"/>
          <w:color w:val="222222"/>
          <w:sz w:val="20"/>
          <w:szCs w:val="20"/>
          <w:shd w:val="clear" w:color="auto" w:fill="FFFFFF"/>
        </w:rPr>
        <w:t xml:space="preserve">гији узорка </w:t>
      </w:r>
      <w:r w:rsidRPr="003C0133">
        <w:rPr>
          <w:rFonts w:ascii="Arial" w:hAnsi="Arial" w:cs="Arial"/>
          <w:color w:val="222222"/>
          <w:sz w:val="20"/>
          <w:szCs w:val="20"/>
          <w:shd w:val="clear" w:color="auto" w:fill="FFFFFF"/>
        </w:rPr>
        <w:t>и обухвату</w:t>
      </w:r>
      <w:r w:rsidR="00350BD9" w:rsidRPr="003C0133">
        <w:rPr>
          <w:b/>
          <w:color w:val="222222"/>
          <w:shd w:val="clear" w:color="auto" w:fill="FFFFFF"/>
        </w:rPr>
        <w:t xml:space="preserve"> </w:t>
      </w:r>
      <w:r w:rsidR="00350BD9" w:rsidRPr="003C0133">
        <w:rPr>
          <w:rFonts w:ascii="Arial" w:hAnsi="Arial" w:cs="Arial"/>
          <w:color w:val="222222"/>
          <w:sz w:val="20"/>
          <w:szCs w:val="20"/>
          <w:shd w:val="clear" w:color="auto" w:fill="FFFFFF"/>
        </w:rPr>
        <w:t>истраживања</w:t>
      </w:r>
      <w:r w:rsidRPr="003C0133">
        <w:rPr>
          <w:rFonts w:ascii="Arial" w:hAnsi="Arial" w:cs="Arial"/>
          <w:color w:val="222222"/>
          <w:sz w:val="20"/>
          <w:szCs w:val="20"/>
          <w:shd w:val="clear" w:color="auto" w:fill="FFFFFF"/>
        </w:rPr>
        <w:t>.</w:t>
      </w:r>
      <w:r w:rsidRPr="00350BD9">
        <w:rPr>
          <w:rFonts w:ascii="Arial" w:hAnsi="Arial" w:cs="Arial"/>
          <w:color w:val="222222"/>
          <w:sz w:val="20"/>
          <w:szCs w:val="20"/>
          <w:shd w:val="clear" w:color="auto" w:fill="FFFFFF"/>
        </w:rPr>
        <w:t> </w:t>
      </w:r>
    </w:p>
    <w:p w14:paraId="4EF4E7BB" w14:textId="7959C9EE" w:rsidR="00680030" w:rsidRPr="005E2463" w:rsidRDefault="00680030" w:rsidP="005E2463">
      <w:pPr>
        <w:pStyle w:val="Pasus"/>
        <w:ind w:left="0" w:firstLine="0"/>
        <w:rPr>
          <w:b/>
        </w:rPr>
      </w:pPr>
      <w:r w:rsidRPr="005E2463">
        <w:rPr>
          <w:b/>
        </w:rPr>
        <w:t xml:space="preserve">Метод, време </w:t>
      </w:r>
      <w:r w:rsidR="00233BC6">
        <w:rPr>
          <w:b/>
        </w:rPr>
        <w:t>и извори за прикупљање података</w:t>
      </w:r>
      <w:r w:rsidRPr="005E2463">
        <w:rPr>
          <w:b/>
        </w:rPr>
        <w:t xml:space="preserve"> </w:t>
      </w:r>
    </w:p>
    <w:p w14:paraId="246AD2A4" w14:textId="0B81A9C0" w:rsidR="00680030" w:rsidRPr="003C0133" w:rsidRDefault="00680030" w:rsidP="00680030">
      <w:pPr>
        <w:pStyle w:val="BodyTextIndent"/>
        <w:numPr>
          <w:ilvl w:val="1"/>
          <w:numId w:val="2"/>
        </w:numPr>
        <w:ind w:left="1080"/>
        <w:rPr>
          <w:lang w:val="ru-RU"/>
        </w:rPr>
      </w:pPr>
      <w:r w:rsidRPr="00973584">
        <w:rPr>
          <w:b/>
          <w:color w:val="222222"/>
          <w:shd w:val="clear" w:color="auto" w:fill="FFFFFF"/>
          <w:lang w:val="sr-Cyrl-RS"/>
        </w:rPr>
        <w:t>ИТР.</w:t>
      </w:r>
      <w:r w:rsidRPr="00973584">
        <w:rPr>
          <w:color w:val="222222"/>
          <w:shd w:val="clear" w:color="auto" w:fill="FFFFFF"/>
          <w:lang w:val="sr-Cyrl-RS"/>
        </w:rPr>
        <w:t xml:space="preserve"> </w:t>
      </w:r>
      <w:r w:rsidR="008E58E4" w:rsidRPr="003C0133">
        <w:rPr>
          <w:color w:val="222222"/>
          <w:shd w:val="clear" w:color="auto" w:fill="FFFFFF"/>
          <w:lang w:val="sr-Cyrl-RS"/>
        </w:rPr>
        <w:t>–</w:t>
      </w:r>
      <w:r w:rsidR="00104BDE" w:rsidRPr="003C0133">
        <w:rPr>
          <w:color w:val="222222"/>
          <w:shd w:val="clear" w:color="auto" w:fill="FFFFFF"/>
          <w:lang w:val="sr-Cyrl-RS"/>
        </w:rPr>
        <w:t xml:space="preserve"> </w:t>
      </w:r>
      <w:r w:rsidRPr="003C0133">
        <w:t>У истраживању се примењује метод извештаја на бази обрасца ИТР, који попуњава сваки пословни субјект</w:t>
      </w:r>
      <w:r w:rsidR="000C4963" w:rsidRPr="003C0133">
        <w:rPr>
          <w:lang w:val="sr-Cyrl-RS"/>
        </w:rPr>
        <w:t xml:space="preserve"> (правна лица и предузетници)</w:t>
      </w:r>
      <w:r w:rsidRPr="003C0133">
        <w:t xml:space="preserve"> обухваћен узорком. Извештај</w:t>
      </w:r>
      <w:r w:rsidR="00786EA9" w:rsidRPr="003C0133">
        <w:rPr>
          <w:lang w:val="sr-Cyrl-RS"/>
        </w:rPr>
        <w:t>не</w:t>
      </w:r>
      <w:r w:rsidRPr="003C0133">
        <w:t xml:space="preserve"> јединице изабране су методом случајног узорка. Истраживање се спроводи сваке четврте године, а обрачунски период је претходна пословна година.</w:t>
      </w:r>
    </w:p>
    <w:p w14:paraId="311FB206" w14:textId="08B0D441" w:rsidR="00EB2FB0" w:rsidRPr="003C0133" w:rsidRDefault="00680030" w:rsidP="00EB2FB0">
      <w:pPr>
        <w:pStyle w:val="BodyTextIndent"/>
        <w:numPr>
          <w:ilvl w:val="1"/>
          <w:numId w:val="2"/>
        </w:numPr>
        <w:ind w:left="1080"/>
        <w:rPr>
          <w:lang w:val="ru-RU"/>
        </w:rPr>
      </w:pPr>
      <w:r w:rsidRPr="003C0133">
        <w:rPr>
          <w:b/>
          <w:color w:val="222222"/>
          <w:shd w:val="clear" w:color="auto" w:fill="FFFFFF"/>
          <w:lang w:val="sr-Cyrl-RS"/>
        </w:rPr>
        <w:t>Индекс трошкова рада.</w:t>
      </w:r>
      <w:r w:rsidR="00104BDE" w:rsidRPr="003C0133">
        <w:rPr>
          <w:b/>
          <w:color w:val="222222"/>
          <w:shd w:val="clear" w:color="auto" w:fill="FFFFFF"/>
          <w:lang w:val="sr-Cyrl-RS"/>
        </w:rPr>
        <w:t xml:space="preserve"> </w:t>
      </w:r>
      <w:r w:rsidR="008E58E4" w:rsidRPr="003C0133">
        <w:rPr>
          <w:b/>
          <w:color w:val="222222"/>
          <w:shd w:val="clear" w:color="auto" w:fill="FFFFFF"/>
          <w:lang w:val="sr-Cyrl-RS"/>
        </w:rPr>
        <w:t>–</w:t>
      </w:r>
      <w:r w:rsidRPr="003C0133">
        <w:rPr>
          <w:color w:val="222222"/>
          <w:shd w:val="clear" w:color="auto" w:fill="FFFFFF"/>
          <w:lang w:val="sr-Cyrl-RS"/>
        </w:rPr>
        <w:t xml:space="preserve"> </w:t>
      </w:r>
      <w:r w:rsidR="00EB2FB0" w:rsidRPr="003C0133">
        <w:rPr>
          <w:color w:val="222222"/>
          <w:shd w:val="clear" w:color="auto" w:fill="FFFFFF"/>
          <w:lang w:val="sr-Cyrl-RS"/>
        </w:rPr>
        <w:t xml:space="preserve">Комбинација истраживања и података из административних извора. </w:t>
      </w:r>
      <w:r w:rsidR="00786EA9" w:rsidRPr="003C0133">
        <w:t>У истраживању се примењује извештајни метод прикупљања података</w:t>
      </w:r>
      <w:r w:rsidR="000C4963" w:rsidRPr="003C0133">
        <w:rPr>
          <w:lang w:val="sr-Latn-RS"/>
        </w:rPr>
        <w:t xml:space="preserve">, </w:t>
      </w:r>
      <w:r w:rsidR="000C4963" w:rsidRPr="003C0133">
        <w:rPr>
          <w:lang w:val="sr-Cyrl-RS"/>
        </w:rPr>
        <w:t>подаци се прикупљају</w:t>
      </w:r>
      <w:r w:rsidR="00786EA9" w:rsidRPr="003C0133">
        <w:t xml:space="preserve"> путем обрасца РАД-1, који се попуњава за сваку јединицу изабрану у узорак. Истраживање се спроводи на намерно изабраном узорку правних лица.</w:t>
      </w:r>
      <w:r w:rsidR="00EB2FB0" w:rsidRPr="003C0133">
        <w:rPr>
          <w:lang w:val="sr-Cyrl-RS"/>
        </w:rPr>
        <w:t xml:space="preserve"> </w:t>
      </w:r>
      <w:r w:rsidR="000C4963" w:rsidRPr="003C0133">
        <w:t>Подаци неопходни за израчунавање индекса</w:t>
      </w:r>
      <w:r w:rsidR="00786EA9" w:rsidRPr="003C0133">
        <w:t xml:space="preserve"> трошкова рада у обрасцу РАД-1 попуњавају се на основу података рачуноводствене евиденције о исплати зарада</w:t>
      </w:r>
      <w:r w:rsidR="000C4963" w:rsidRPr="003C0133">
        <w:rPr>
          <w:lang w:val="sr-Cyrl-RS"/>
        </w:rPr>
        <w:t xml:space="preserve">, </w:t>
      </w:r>
      <w:r w:rsidR="000C4963" w:rsidRPr="003C0133">
        <w:t xml:space="preserve">трошковима </w:t>
      </w:r>
      <w:r w:rsidR="000C4963" w:rsidRPr="003C0133">
        <w:rPr>
          <w:lang w:val="sr-Cyrl-RS"/>
        </w:rPr>
        <w:t xml:space="preserve">за </w:t>
      </w:r>
      <w:r w:rsidR="000C4963" w:rsidRPr="003C0133">
        <w:t>превоз запослених</w:t>
      </w:r>
      <w:r w:rsidR="00786EA9" w:rsidRPr="003C0133">
        <w:t xml:space="preserve"> и броју </w:t>
      </w:r>
      <w:bookmarkStart w:id="0" w:name="_GoBack"/>
      <w:bookmarkEnd w:id="0"/>
      <w:r w:rsidR="00786EA9" w:rsidRPr="003C0133">
        <w:t>часова рада</w:t>
      </w:r>
      <w:r w:rsidR="00EB2FB0" w:rsidRPr="003C0133">
        <w:rPr>
          <w:lang w:val="sr-Cyrl-RS"/>
        </w:rPr>
        <w:t>.</w:t>
      </w:r>
      <w:r w:rsidR="00EB2FB0" w:rsidRPr="003C0133">
        <w:t xml:space="preserve"> </w:t>
      </w:r>
    </w:p>
    <w:p w14:paraId="27FD5EDB" w14:textId="77777777" w:rsidR="00EB2FB0" w:rsidRPr="003C0133" w:rsidRDefault="00EB2FB0" w:rsidP="00EB2FB0">
      <w:pPr>
        <w:pStyle w:val="BodyTextIndent"/>
        <w:ind w:left="1080" w:firstLine="0"/>
        <w:rPr>
          <w:lang w:val="ru-RU"/>
        </w:rPr>
      </w:pPr>
      <w:r w:rsidRPr="003C0133">
        <w:t xml:space="preserve">За процену података о исплаћеним отпремнинама при одласку запослених у пензију користе се подаци о броју пензионисаних </w:t>
      </w:r>
      <w:r w:rsidR="000C4963" w:rsidRPr="003C0133">
        <w:rPr>
          <w:lang w:val="sr-Cyrl-RS"/>
        </w:rPr>
        <w:t>лица</w:t>
      </w:r>
      <w:r w:rsidRPr="003C0133">
        <w:t xml:space="preserve"> из евиденције Републичког фонда за пензијско и инвалидско осигурање и просечна зарада на основу које се исплаћује отпремнина у датом месецу. </w:t>
      </w:r>
    </w:p>
    <w:p w14:paraId="3E2CC6C2" w14:textId="77777777" w:rsidR="00EB2FB0" w:rsidRPr="003C0133" w:rsidRDefault="00EB2FB0" w:rsidP="00EB2FB0">
      <w:pPr>
        <w:pStyle w:val="Pasus"/>
        <w:ind w:left="1080" w:hanging="14"/>
      </w:pPr>
      <w:r w:rsidRPr="003C0133">
        <w:t>Од Националне службе за запошљавање преузимају се подаци о додељеним  субвенцијама.</w:t>
      </w:r>
    </w:p>
    <w:p w14:paraId="56D1DA17" w14:textId="77777777" w:rsidR="002B1199" w:rsidRPr="002B1199" w:rsidRDefault="002B1199" w:rsidP="00EB2FB0">
      <w:pPr>
        <w:pStyle w:val="Pasus"/>
        <w:ind w:left="1080" w:hanging="14"/>
        <w:rPr>
          <w:lang w:val="sr-Cyrl-RS"/>
        </w:rPr>
      </w:pPr>
      <w:r w:rsidRPr="003C0133">
        <w:rPr>
          <w:lang w:val="sr-Cyrl-RS"/>
        </w:rPr>
        <w:t>Подаци се прикупљају у месечној и кварталној пери</w:t>
      </w:r>
      <w:r w:rsidR="000677CC" w:rsidRPr="003C0133">
        <w:rPr>
          <w:lang w:val="sr-Cyrl-RS"/>
        </w:rPr>
        <w:t>о</w:t>
      </w:r>
      <w:r w:rsidRPr="003C0133">
        <w:rPr>
          <w:lang w:val="sr-Cyrl-RS"/>
        </w:rPr>
        <w:t>дици, а објављују се квартално.</w:t>
      </w:r>
    </w:p>
    <w:p w14:paraId="4BA8877C" w14:textId="77777777" w:rsidR="00786EA9" w:rsidRPr="00973584" w:rsidRDefault="00786EA9" w:rsidP="00786EA9">
      <w:pPr>
        <w:pStyle w:val="Pasus"/>
        <w:ind w:left="1080" w:firstLine="0"/>
      </w:pPr>
    </w:p>
    <w:p w14:paraId="1B6285CD" w14:textId="77777777" w:rsidR="00786EA9" w:rsidRPr="00973584" w:rsidRDefault="00786EA9" w:rsidP="00786EA9">
      <w:pPr>
        <w:pStyle w:val="Pasus"/>
        <w:ind w:left="1080" w:firstLine="0"/>
      </w:pPr>
    </w:p>
    <w:p w14:paraId="2DB3D693" w14:textId="77777777" w:rsidR="006A4DC0" w:rsidRPr="00973584" w:rsidRDefault="005074E5" w:rsidP="002B1199">
      <w:pPr>
        <w:pStyle w:val="Pasus"/>
        <w:ind w:left="0" w:firstLine="0"/>
        <w:rPr>
          <w:lang w:val="ru-RU"/>
        </w:rPr>
      </w:pPr>
      <w:r w:rsidRPr="00973584">
        <w:rPr>
          <w:b/>
          <w:color w:val="222222"/>
          <w:shd w:val="clear" w:color="auto" w:fill="FFFFFF"/>
          <w:lang w:val="sr-Cyrl-RS"/>
        </w:rPr>
        <w:t xml:space="preserve">Дефиниција запослених. </w:t>
      </w:r>
    </w:p>
    <w:p w14:paraId="673B9BB8" w14:textId="2D1C074D" w:rsidR="006A4DC0" w:rsidRPr="003C0133" w:rsidRDefault="000C4963" w:rsidP="009E40CE">
      <w:pPr>
        <w:pStyle w:val="Pasus"/>
        <w:numPr>
          <w:ilvl w:val="1"/>
          <w:numId w:val="1"/>
        </w:numPr>
        <w:ind w:left="1080"/>
        <w:rPr>
          <w:lang w:val="ru-RU"/>
        </w:rPr>
      </w:pPr>
      <w:r w:rsidRPr="00973584">
        <w:rPr>
          <w:b/>
          <w:color w:val="222222"/>
          <w:shd w:val="clear" w:color="auto" w:fill="FFFFFF"/>
          <w:lang w:val="sr-Cyrl-RS"/>
        </w:rPr>
        <w:t xml:space="preserve">Индекс трошкова </w:t>
      </w:r>
      <w:r w:rsidRPr="003C0133">
        <w:rPr>
          <w:b/>
          <w:color w:val="222222"/>
          <w:shd w:val="clear" w:color="auto" w:fill="FFFFFF"/>
          <w:lang w:val="sr-Cyrl-RS"/>
        </w:rPr>
        <w:t>рада</w:t>
      </w:r>
      <w:r w:rsidR="008279D2" w:rsidRPr="003C0133">
        <w:rPr>
          <w:b/>
          <w:color w:val="222222"/>
          <w:shd w:val="clear" w:color="auto" w:fill="FFFFFF"/>
          <w:lang w:val="sr-Cyrl-RS"/>
        </w:rPr>
        <w:t>.</w:t>
      </w:r>
      <w:r w:rsidRPr="003C0133">
        <w:rPr>
          <w:color w:val="222222"/>
          <w:shd w:val="clear" w:color="auto" w:fill="FFFFFF"/>
          <w:lang w:val="sr-Cyrl-RS"/>
        </w:rPr>
        <w:t xml:space="preserve"> </w:t>
      </w:r>
      <w:r w:rsidR="00B754B5" w:rsidRPr="003C0133">
        <w:rPr>
          <w:color w:val="222222"/>
          <w:shd w:val="clear" w:color="auto" w:fill="FFFFFF"/>
          <w:lang w:val="sr-Cyrl-RS"/>
        </w:rPr>
        <w:t>–</w:t>
      </w:r>
      <w:r w:rsidR="00AB53A8" w:rsidRPr="003C0133">
        <w:rPr>
          <w:color w:val="222222"/>
          <w:shd w:val="clear" w:color="auto" w:fill="FFFFFF"/>
          <w:lang w:val="sr-Cyrl-RS"/>
        </w:rPr>
        <w:t xml:space="preserve"> П</w:t>
      </w:r>
      <w:r w:rsidR="005074E5" w:rsidRPr="003C0133">
        <w:rPr>
          <w:color w:val="222222"/>
          <w:shd w:val="clear" w:color="auto" w:fill="FFFFFF"/>
          <w:lang w:val="sr-Cyrl-RS"/>
        </w:rPr>
        <w:t xml:space="preserve">од појмом запослени подразумевају се лица која имају заснован радни однос са послодавцем  на одређено или неодређено време, без обзира на то да ли раде пуно радно време или краће од њега. Не сматрају се запосленим лица која раде на основу уговора о делу или на основу уговора о обављању привремених и повремених послова. </w:t>
      </w:r>
    </w:p>
    <w:p w14:paraId="74D1C545" w14:textId="506DDEBE" w:rsidR="005074E5" w:rsidRPr="00973584" w:rsidRDefault="005074E5" w:rsidP="009E40CE">
      <w:pPr>
        <w:pStyle w:val="Pasus"/>
        <w:numPr>
          <w:ilvl w:val="1"/>
          <w:numId w:val="1"/>
        </w:numPr>
        <w:ind w:left="1080"/>
        <w:rPr>
          <w:lang w:val="ru-RU"/>
        </w:rPr>
      </w:pPr>
      <w:r w:rsidRPr="003C0133">
        <w:rPr>
          <w:b/>
          <w:color w:val="222222"/>
          <w:shd w:val="clear" w:color="auto" w:fill="FFFFFF"/>
          <w:lang w:val="sr-Cyrl-RS"/>
        </w:rPr>
        <w:t>ИТР</w:t>
      </w:r>
      <w:r w:rsidR="00567308" w:rsidRPr="003C0133">
        <w:rPr>
          <w:b/>
          <w:color w:val="222222"/>
          <w:shd w:val="clear" w:color="auto" w:fill="FFFFFF"/>
          <w:lang w:val="sr-Cyrl-RS"/>
        </w:rPr>
        <w:t>.</w:t>
      </w:r>
      <w:r w:rsidRPr="003C0133">
        <w:rPr>
          <w:color w:val="222222"/>
          <w:shd w:val="clear" w:color="auto" w:fill="FFFFFF"/>
          <w:lang w:val="sr-Cyrl-RS"/>
        </w:rPr>
        <w:t xml:space="preserve"> </w:t>
      </w:r>
      <w:r w:rsidR="00E3277B" w:rsidRPr="003C0133">
        <w:rPr>
          <w:color w:val="222222"/>
          <w:shd w:val="clear" w:color="auto" w:fill="FFFFFF"/>
          <w:lang w:val="sr-Cyrl-RS"/>
        </w:rPr>
        <w:t>–</w:t>
      </w:r>
      <w:r w:rsidR="000C4963" w:rsidRPr="003C0133">
        <w:rPr>
          <w:color w:val="222222"/>
          <w:shd w:val="clear" w:color="auto" w:fill="FFFFFF"/>
          <w:lang w:val="sr-Cyrl-RS"/>
        </w:rPr>
        <w:t xml:space="preserve"> </w:t>
      </w:r>
      <w:r w:rsidR="007470C1" w:rsidRPr="003C0133">
        <w:rPr>
          <w:color w:val="222222"/>
          <w:shd w:val="clear" w:color="auto" w:fill="FFFFFF"/>
          <w:lang w:val="sr-Cyrl-RS"/>
        </w:rPr>
        <w:t>По</w:t>
      </w:r>
      <w:r w:rsidRPr="003C0133">
        <w:rPr>
          <w:color w:val="222222"/>
          <w:shd w:val="clear" w:color="auto" w:fill="FFFFFF"/>
          <w:lang w:val="sr-Cyrl-RS"/>
        </w:rPr>
        <w:t>д појмом запослени сматрају се и лица која раде на основу уговора о обављању привремених и повремених послова</w:t>
      </w:r>
      <w:r w:rsidRPr="00973584">
        <w:rPr>
          <w:color w:val="222222"/>
          <w:shd w:val="clear" w:color="auto" w:fill="FFFFFF"/>
          <w:lang w:val="sr-Cyrl-RS"/>
        </w:rPr>
        <w:t>.</w:t>
      </w:r>
    </w:p>
    <w:p w14:paraId="2E89E9B2" w14:textId="77777777" w:rsidR="005074E5" w:rsidRPr="00973584" w:rsidRDefault="005074E5" w:rsidP="005074E5">
      <w:pPr>
        <w:pStyle w:val="ListParagraph"/>
        <w:ind w:left="1211"/>
        <w:rPr>
          <w:rFonts w:ascii="Arial" w:hAnsi="Arial" w:cs="Arial"/>
          <w:b/>
          <w:color w:val="222222"/>
          <w:sz w:val="20"/>
          <w:szCs w:val="20"/>
          <w:shd w:val="clear" w:color="auto" w:fill="FFFFFF"/>
        </w:rPr>
      </w:pPr>
    </w:p>
    <w:p w14:paraId="7BD70E6D" w14:textId="77777777" w:rsidR="006A4DC0" w:rsidRPr="00973584" w:rsidRDefault="00380127" w:rsidP="002B1199">
      <w:pPr>
        <w:pStyle w:val="Pasus"/>
        <w:ind w:left="0" w:firstLine="0"/>
        <w:rPr>
          <w:color w:val="222222"/>
          <w:shd w:val="clear" w:color="auto" w:fill="FFFFFF"/>
          <w:lang w:val="sr-Cyrl-RS"/>
        </w:rPr>
      </w:pPr>
      <w:r w:rsidRPr="00973584">
        <w:rPr>
          <w:b/>
          <w:color w:val="222222"/>
          <w:shd w:val="clear" w:color="auto" w:fill="FFFFFF"/>
          <w:lang w:val="sr-Cyrl-RS"/>
        </w:rPr>
        <w:t>Дефиниције варијабли</w:t>
      </w:r>
      <w:r w:rsidR="004048E9" w:rsidRPr="00973584">
        <w:rPr>
          <w:b/>
          <w:color w:val="222222"/>
          <w:shd w:val="clear" w:color="auto" w:fill="FFFFFF"/>
          <w:lang w:val="sr-Cyrl-RS"/>
        </w:rPr>
        <w:t xml:space="preserve"> које се пореде</w:t>
      </w:r>
      <w:r w:rsidRPr="00973584">
        <w:rPr>
          <w:i/>
          <w:color w:val="222222"/>
          <w:shd w:val="clear" w:color="auto" w:fill="FFFFFF"/>
          <w:lang w:val="sr-Cyrl-RS"/>
        </w:rPr>
        <w:t>.</w:t>
      </w:r>
      <w:r w:rsidR="00E54B40" w:rsidRPr="00973584">
        <w:rPr>
          <w:rFonts w:ascii="Arial IS" w:hAnsi="Arial IS" w:cs="Arial IS"/>
          <w:bCs/>
          <w:i/>
          <w:iCs/>
          <w:lang w:val="ru-RU"/>
        </w:rPr>
        <w:t xml:space="preserve"> </w:t>
      </w:r>
    </w:p>
    <w:p w14:paraId="045177B8" w14:textId="1B0376C5" w:rsidR="009A3045" w:rsidRPr="003C0133" w:rsidRDefault="009A3045" w:rsidP="005E2463">
      <w:pPr>
        <w:pStyle w:val="Pasus"/>
        <w:ind w:left="1080" w:firstLine="0"/>
        <w:rPr>
          <w:color w:val="222222"/>
          <w:shd w:val="clear" w:color="auto" w:fill="FFFFFF"/>
          <w:lang w:val="sr-Cyrl-RS"/>
        </w:rPr>
      </w:pPr>
      <w:r w:rsidRPr="00973584">
        <w:rPr>
          <w:b/>
          <w:color w:val="222222"/>
          <w:shd w:val="clear" w:color="auto" w:fill="FFFFFF"/>
          <w:lang w:val="sr-Cyrl-RS"/>
        </w:rPr>
        <w:t xml:space="preserve">Индекс трошкова </w:t>
      </w:r>
      <w:r w:rsidRPr="003C0133">
        <w:rPr>
          <w:b/>
          <w:color w:val="222222"/>
          <w:shd w:val="clear" w:color="auto" w:fill="FFFFFF"/>
          <w:lang w:val="sr-Cyrl-RS"/>
        </w:rPr>
        <w:t>рада</w:t>
      </w:r>
      <w:r w:rsidR="00F63749" w:rsidRPr="003C0133">
        <w:rPr>
          <w:b/>
          <w:color w:val="222222"/>
          <w:shd w:val="clear" w:color="auto" w:fill="FFFFFF"/>
          <w:lang w:val="sr-Cyrl-RS"/>
        </w:rPr>
        <w:t>.</w:t>
      </w:r>
      <w:r w:rsidRPr="003C0133">
        <w:rPr>
          <w:b/>
          <w:color w:val="222222"/>
          <w:shd w:val="clear" w:color="auto" w:fill="FFFFFF"/>
          <w:lang w:val="sr-Cyrl-RS"/>
        </w:rPr>
        <w:t xml:space="preserve"> </w:t>
      </w:r>
      <w:r w:rsidRPr="003C0133">
        <w:rPr>
          <w:color w:val="222222"/>
          <w:shd w:val="clear" w:color="auto" w:fill="FFFFFF"/>
          <w:lang w:val="sr-Cyrl-RS"/>
        </w:rPr>
        <w:t>– Овим истраживањем не</w:t>
      </w:r>
      <w:r w:rsidR="00687E3D" w:rsidRPr="003C0133">
        <w:rPr>
          <w:color w:val="222222"/>
          <w:shd w:val="clear" w:color="auto" w:fill="FFFFFF"/>
          <w:lang w:val="sr-Cyrl-RS"/>
        </w:rPr>
        <w:t xml:space="preserve"> </w:t>
      </w:r>
      <w:r w:rsidRPr="003C0133">
        <w:rPr>
          <w:color w:val="222222"/>
          <w:shd w:val="clear" w:color="auto" w:fill="FFFFFF"/>
          <w:lang w:val="sr-Cyrl-RS"/>
        </w:rPr>
        <w:t>обухватају се сви трошкови послодаваца које они имају по основу ангажовања радне снаге који се об</w:t>
      </w:r>
      <w:r w:rsidR="00E337B0" w:rsidRPr="003C0133">
        <w:rPr>
          <w:color w:val="222222"/>
          <w:shd w:val="clear" w:color="auto" w:fill="FFFFFF"/>
          <w:lang w:val="sr-Cyrl-RS"/>
        </w:rPr>
        <w:t>у</w:t>
      </w:r>
      <w:r w:rsidRPr="003C0133">
        <w:rPr>
          <w:color w:val="222222"/>
          <w:shd w:val="clear" w:color="auto" w:fill="FFFFFF"/>
          <w:lang w:val="sr-Cyrl-RS"/>
        </w:rPr>
        <w:t xml:space="preserve">хватају </w:t>
      </w:r>
      <w:r w:rsidRPr="00202E83">
        <w:rPr>
          <w:color w:val="222222"/>
          <w:shd w:val="clear" w:color="auto" w:fill="FFFFFF"/>
          <w:lang w:val="sr-Cyrl-RS"/>
        </w:rPr>
        <w:t>четворогодишњим ИТР.</w:t>
      </w:r>
      <w:r w:rsidRPr="003C0133">
        <w:rPr>
          <w:b/>
          <w:color w:val="222222"/>
          <w:shd w:val="clear" w:color="auto" w:fill="FFFFFF"/>
          <w:lang w:val="sr-Cyrl-RS"/>
        </w:rPr>
        <w:t xml:space="preserve"> </w:t>
      </w:r>
    </w:p>
    <w:p w14:paraId="446A74BB" w14:textId="77777777" w:rsidR="009A3045" w:rsidRPr="003C0133" w:rsidRDefault="009A3045" w:rsidP="00973584">
      <w:pPr>
        <w:pStyle w:val="Pasus"/>
        <w:numPr>
          <w:ilvl w:val="0"/>
          <w:numId w:val="6"/>
        </w:numPr>
        <w:ind w:left="1440"/>
        <w:rPr>
          <w:color w:val="222222"/>
          <w:shd w:val="clear" w:color="auto" w:fill="FFFFFF"/>
          <w:lang w:val="sr-Cyrl-RS"/>
        </w:rPr>
      </w:pPr>
      <w:r w:rsidRPr="003C0133">
        <w:rPr>
          <w:color w:val="222222"/>
          <w:shd w:val="clear" w:color="auto" w:fill="FFFFFF"/>
          <w:lang w:val="sr-Cyrl-RS"/>
        </w:rPr>
        <w:t>Трошкови рада који нису обухваћени:</w:t>
      </w:r>
    </w:p>
    <w:p w14:paraId="430D0E30" w14:textId="248CD44F" w:rsidR="009A3045" w:rsidRPr="003C0133" w:rsidRDefault="009007A2" w:rsidP="00973584">
      <w:pPr>
        <w:pStyle w:val="Pasus"/>
        <w:numPr>
          <w:ilvl w:val="0"/>
          <w:numId w:val="7"/>
        </w:numPr>
        <w:ind w:left="1890"/>
        <w:rPr>
          <w:color w:val="222222"/>
          <w:shd w:val="clear" w:color="auto" w:fill="FFFFFF"/>
          <w:lang w:val="sr-Cyrl-RS"/>
        </w:rPr>
      </w:pPr>
      <w:r w:rsidRPr="00973584">
        <w:rPr>
          <w:color w:val="222222"/>
          <w:shd w:val="clear" w:color="auto" w:fill="FFFFFF"/>
          <w:lang w:val="sr-Cyrl-RS"/>
        </w:rPr>
        <w:t>трошкови образовања и усавршавања запослених</w:t>
      </w:r>
      <w:r w:rsidR="00567308" w:rsidRPr="003C0133">
        <w:rPr>
          <w:color w:val="222222"/>
          <w:shd w:val="clear" w:color="auto" w:fill="FFFFFF"/>
          <w:lang w:val="sr-Cyrl-RS"/>
        </w:rPr>
        <w:t>;</w:t>
      </w:r>
    </w:p>
    <w:p w14:paraId="66E622A0" w14:textId="255151A6" w:rsidR="002B1F37" w:rsidRPr="003C0133" w:rsidRDefault="002B1F37" w:rsidP="00973584">
      <w:pPr>
        <w:pStyle w:val="Pasus"/>
        <w:numPr>
          <w:ilvl w:val="0"/>
          <w:numId w:val="8"/>
        </w:numPr>
        <w:rPr>
          <w:color w:val="222222"/>
          <w:shd w:val="clear" w:color="auto" w:fill="FFFFFF"/>
        </w:rPr>
      </w:pPr>
      <w:r w:rsidRPr="003C0133">
        <w:rPr>
          <w:color w:val="222222"/>
          <w:shd w:val="clear" w:color="auto" w:fill="FFFFFF"/>
          <w:lang w:val="sr-Cyrl-RS"/>
        </w:rPr>
        <w:t xml:space="preserve">трошкови у </w:t>
      </w:r>
      <w:r w:rsidRPr="003C0133">
        <w:t>вези са запошљавањем нових радника (</w:t>
      </w:r>
      <w:r w:rsidRPr="003C0133">
        <w:rPr>
          <w:color w:val="222222"/>
          <w:shd w:val="clear" w:color="auto" w:fill="FFFFFF"/>
        </w:rPr>
        <w:t>за огласе, за агенције за запошљавање</w:t>
      </w:r>
      <w:r w:rsidRPr="003C0133">
        <w:rPr>
          <w:bCs/>
        </w:rPr>
        <w:t>, трошкови разговора са кандидатима и др.) и трошков</w:t>
      </w:r>
      <w:r w:rsidR="00567308" w:rsidRPr="003C0133">
        <w:rPr>
          <w:bCs/>
          <w:lang w:val="sr-Cyrl-RS"/>
        </w:rPr>
        <w:t>и</w:t>
      </w:r>
      <w:r w:rsidRPr="003C0133">
        <w:rPr>
          <w:bCs/>
        </w:rPr>
        <w:t xml:space="preserve"> за услуге заштите на раду који се односе на </w:t>
      </w:r>
      <w:r w:rsidR="007A001A" w:rsidRPr="003C0133">
        <w:rPr>
          <w:bCs/>
        </w:rPr>
        <w:t>куповину заштитне и радне одеће;</w:t>
      </w:r>
    </w:p>
    <w:p w14:paraId="25CB3024" w14:textId="1C22833C" w:rsidR="002B1F37" w:rsidRPr="003C0133" w:rsidRDefault="002B1F37" w:rsidP="00973584">
      <w:pPr>
        <w:pStyle w:val="Pasus"/>
        <w:numPr>
          <w:ilvl w:val="0"/>
          <w:numId w:val="8"/>
        </w:numPr>
        <w:rPr>
          <w:color w:val="222222"/>
          <w:shd w:val="clear" w:color="auto" w:fill="FFFFFF"/>
          <w:lang w:val="sr-Cyrl-RS"/>
        </w:rPr>
      </w:pPr>
      <w:r w:rsidRPr="003C0133">
        <w:rPr>
          <w:rStyle w:val="Strong"/>
          <w:b w:val="0"/>
          <w:color w:val="222222"/>
          <w:shd w:val="clear" w:color="auto" w:fill="FFFFFF"/>
          <w:lang w:val="sr-Cyrl-RS"/>
        </w:rPr>
        <w:t xml:space="preserve">трошкови </w:t>
      </w:r>
      <w:r w:rsidRPr="003C0133">
        <w:rPr>
          <w:rStyle w:val="Strong"/>
          <w:b w:val="0"/>
          <w:color w:val="222222"/>
          <w:shd w:val="clear" w:color="auto" w:fill="FFFFFF"/>
        </w:rPr>
        <w:t>остали</w:t>
      </w:r>
      <w:r w:rsidRPr="003C0133">
        <w:rPr>
          <w:rStyle w:val="Strong"/>
          <w:b w:val="0"/>
          <w:color w:val="222222"/>
          <w:shd w:val="clear" w:color="auto" w:fill="FFFFFF"/>
          <w:lang w:val="sr-Cyrl-RS"/>
        </w:rPr>
        <w:t>х</w:t>
      </w:r>
      <w:r w:rsidRPr="003C0133">
        <w:rPr>
          <w:rStyle w:val="Strong"/>
          <w:b w:val="0"/>
          <w:color w:val="222222"/>
          <w:shd w:val="clear" w:color="auto" w:fill="FFFFFF"/>
        </w:rPr>
        <w:t xml:space="preserve"> пореза који </w:t>
      </w:r>
      <w:r w:rsidRPr="003C0133">
        <w:rPr>
          <w:color w:val="222222"/>
          <w:shd w:val="clear" w:color="auto" w:fill="FFFFFF"/>
        </w:rPr>
        <w:t>подразумевају трошкове послодавца у вези са извршењем обавезе запошљавања особа са инвалидитетом, односно плаћање пенала због незапошљавања законом прописан</w:t>
      </w:r>
      <w:r w:rsidR="00DE5140" w:rsidRPr="003C0133">
        <w:rPr>
          <w:color w:val="222222"/>
          <w:shd w:val="clear" w:color="auto" w:fill="FFFFFF"/>
        </w:rPr>
        <w:t>ог броја лица са инвалидитетом;</w:t>
      </w:r>
    </w:p>
    <w:p w14:paraId="7F028AA6" w14:textId="435D9C98" w:rsidR="007250D2" w:rsidRDefault="00973584" w:rsidP="00973584">
      <w:pPr>
        <w:pStyle w:val="Pasus"/>
        <w:numPr>
          <w:ilvl w:val="0"/>
          <w:numId w:val="8"/>
        </w:numPr>
        <w:rPr>
          <w:color w:val="222222"/>
          <w:shd w:val="clear" w:color="auto" w:fill="FFFFFF"/>
          <w:lang w:val="sr-Cyrl-RS"/>
        </w:rPr>
      </w:pPr>
      <w:r w:rsidRPr="003C0133">
        <w:rPr>
          <w:color w:val="222222"/>
          <w:shd w:val="clear" w:color="auto" w:fill="FFFFFF"/>
          <w:lang w:val="sr-Cyrl-RS"/>
        </w:rPr>
        <w:t>т</w:t>
      </w:r>
      <w:r w:rsidR="00DE5140" w:rsidRPr="003C0133">
        <w:rPr>
          <w:color w:val="222222"/>
          <w:shd w:val="clear" w:color="auto" w:fill="FFFFFF"/>
          <w:lang w:val="sr-Cyrl-RS"/>
        </w:rPr>
        <w:t>рошкови</w:t>
      </w:r>
      <w:r w:rsidR="007250D2" w:rsidRPr="003C0133">
        <w:rPr>
          <w:color w:val="222222"/>
          <w:shd w:val="clear" w:color="auto" w:fill="FFFFFF"/>
          <w:lang w:val="sr-Cyrl-RS"/>
        </w:rPr>
        <w:t xml:space="preserve"> накнаде смештаја и исхране на терену, ј</w:t>
      </w:r>
      <w:r w:rsidR="00F43C33">
        <w:rPr>
          <w:color w:val="222222"/>
          <w:shd w:val="clear" w:color="auto" w:fill="FFFFFF"/>
          <w:lang w:val="sr-Cyrl-RS"/>
        </w:rPr>
        <w:t>убиларне награде, отпремнине запо</w:t>
      </w:r>
      <w:r w:rsidR="007250D2" w:rsidRPr="003C0133">
        <w:rPr>
          <w:color w:val="222222"/>
          <w:shd w:val="clear" w:color="auto" w:fill="FFFFFF"/>
          <w:lang w:val="sr-Cyrl-RS"/>
        </w:rPr>
        <w:t>сленима за чијим радом је престала потреба, помоћ</w:t>
      </w:r>
      <w:r w:rsidRPr="003C0133">
        <w:rPr>
          <w:color w:val="222222"/>
          <w:shd w:val="clear" w:color="auto" w:fill="FFFFFF"/>
          <w:lang w:val="sr-Cyrl-RS"/>
        </w:rPr>
        <w:t xml:space="preserve"> запосленом и породици, трошко</w:t>
      </w:r>
      <w:r w:rsidR="007A47F0" w:rsidRPr="003C0133">
        <w:rPr>
          <w:color w:val="222222"/>
          <w:shd w:val="clear" w:color="auto" w:fill="FFFFFF"/>
          <w:lang w:val="sr-Cyrl-RS"/>
        </w:rPr>
        <w:t>ви</w:t>
      </w:r>
      <w:r w:rsidRPr="003C0133">
        <w:rPr>
          <w:color w:val="222222"/>
          <w:shd w:val="clear" w:color="auto" w:fill="FFFFFF"/>
          <w:lang w:val="sr-Cyrl-RS"/>
        </w:rPr>
        <w:t xml:space="preserve"> </w:t>
      </w:r>
      <w:r w:rsidR="007250D2" w:rsidRPr="003C0133">
        <w:rPr>
          <w:color w:val="222222"/>
          <w:shd w:val="clear" w:color="auto" w:fill="FFFFFF"/>
          <w:lang w:val="sr-Cyrl-RS"/>
        </w:rPr>
        <w:t>премија осигурања</w:t>
      </w:r>
      <w:r w:rsidRPr="003C0133">
        <w:rPr>
          <w:color w:val="222222"/>
          <w:shd w:val="clear" w:color="auto" w:fill="FFFFFF"/>
          <w:lang w:val="sr-Cyrl-RS"/>
        </w:rPr>
        <w:t xml:space="preserve"> (</w:t>
      </w:r>
      <w:r w:rsidR="007250D2" w:rsidRPr="003C0133">
        <w:rPr>
          <w:color w:val="222222"/>
          <w:shd w:val="clear" w:color="auto" w:fill="FFFFFF"/>
          <w:lang w:val="sr-Cyrl-RS"/>
        </w:rPr>
        <w:t>добровољно додатно пензијско осигурање и сл.)</w:t>
      </w:r>
      <w:r w:rsidRPr="003C0133">
        <w:rPr>
          <w:color w:val="222222"/>
          <w:shd w:val="clear" w:color="auto" w:fill="FFFFFF"/>
          <w:lang w:val="sr-Cyrl-RS"/>
        </w:rPr>
        <w:t>, једнократне накнаде у складу са социјалним програмом, чланарине – допринос</w:t>
      </w:r>
      <w:r w:rsidR="007A47F0" w:rsidRPr="003C0133">
        <w:rPr>
          <w:color w:val="222222"/>
          <w:shd w:val="clear" w:color="auto" w:fill="FFFFFF"/>
          <w:lang w:val="sr-Cyrl-RS"/>
        </w:rPr>
        <w:t>и</w:t>
      </w:r>
      <w:r w:rsidRPr="003C0133">
        <w:rPr>
          <w:color w:val="222222"/>
          <w:shd w:val="clear" w:color="auto" w:fill="FFFFFF"/>
          <w:lang w:val="sr-Cyrl-RS"/>
        </w:rPr>
        <w:t xml:space="preserve"> привредним коморама на зараде и накнаде зарада, чланарине синдикатима и другим струковним удруже</w:t>
      </w:r>
      <w:r w:rsidR="004B3AA0" w:rsidRPr="003C0133">
        <w:rPr>
          <w:color w:val="222222"/>
          <w:shd w:val="clear" w:color="auto" w:fill="FFFFFF"/>
          <w:lang w:val="sr-Cyrl-RS"/>
        </w:rPr>
        <w:t>њ</w:t>
      </w:r>
      <w:r w:rsidRPr="003C0133">
        <w:rPr>
          <w:color w:val="222222"/>
          <w:shd w:val="clear" w:color="auto" w:fill="FFFFFF"/>
          <w:lang w:val="sr-Cyrl-RS"/>
        </w:rPr>
        <w:t>има, накнаде</w:t>
      </w:r>
      <w:r w:rsidRPr="00973584">
        <w:rPr>
          <w:color w:val="222222"/>
          <w:shd w:val="clear" w:color="auto" w:fill="FFFFFF"/>
          <w:lang w:val="sr-Cyrl-RS"/>
        </w:rPr>
        <w:t xml:space="preserve"> за </w:t>
      </w:r>
      <w:r w:rsidRPr="00973584">
        <w:rPr>
          <w:color w:val="222222"/>
          <w:shd w:val="clear" w:color="auto" w:fill="FFFFFF"/>
          <w:lang w:val="sr-Cyrl-RS"/>
        </w:rPr>
        <w:lastRenderedPageBreak/>
        <w:t xml:space="preserve">одвојен живот, исплате запосленима у хартијама од вредности, исплате запосленима у роби, </w:t>
      </w:r>
      <w:r>
        <w:rPr>
          <w:color w:val="222222"/>
          <w:shd w:val="clear" w:color="auto" w:fill="FFFFFF"/>
          <w:lang w:val="sr-Cyrl-RS"/>
        </w:rPr>
        <w:t>остала давања запосленима која се не сматрају зарадом као што су: давања запосленима за поклоне деци (</w:t>
      </w:r>
      <w:r w:rsidRPr="00973584">
        <w:rPr>
          <w:color w:val="222222"/>
          <w:shd w:val="clear" w:color="auto" w:fill="FFFFFF"/>
          <w:lang w:val="sr-Cyrl-RS"/>
        </w:rPr>
        <w:t>старости до 15 година живота за Божић и Нову годину) у вредности до неопорезивог износа која су изузета из зараде (поклони поводом 8. марта и других празника, давања поклона деци преко 15 година старости и др.) и све друге накнаде трошкова који су изузети из зараде.</w:t>
      </w:r>
    </w:p>
    <w:p w14:paraId="1F8DFDA4" w14:textId="77777777" w:rsidR="00707E7E" w:rsidRDefault="00707E7E" w:rsidP="00707E7E">
      <w:pPr>
        <w:pStyle w:val="Pasus"/>
        <w:ind w:left="1905" w:firstLine="0"/>
        <w:rPr>
          <w:color w:val="222222"/>
          <w:shd w:val="clear" w:color="auto" w:fill="FFFFFF"/>
          <w:lang w:val="sr-Cyrl-RS"/>
        </w:rPr>
      </w:pPr>
    </w:p>
    <w:p w14:paraId="25482F75" w14:textId="71884EDF" w:rsidR="00707E7E" w:rsidRDefault="00707E7E" w:rsidP="00707E7E">
      <w:pPr>
        <w:pStyle w:val="Pasus"/>
        <w:numPr>
          <w:ilvl w:val="0"/>
          <w:numId w:val="6"/>
        </w:numPr>
        <w:ind w:left="1440"/>
      </w:pPr>
      <w:r>
        <w:rPr>
          <w:color w:val="222222"/>
          <w:shd w:val="clear" w:color="auto" w:fill="FFFFFF"/>
          <w:lang w:val="sr-Cyrl-RS"/>
        </w:rPr>
        <w:t xml:space="preserve">Субвенције. </w:t>
      </w:r>
      <w:r w:rsidR="00B754B5" w:rsidRPr="003C0133">
        <w:rPr>
          <w:color w:val="222222"/>
          <w:shd w:val="clear" w:color="auto" w:fill="FFFFFF"/>
          <w:lang w:val="sr-Cyrl-RS"/>
        </w:rPr>
        <w:t xml:space="preserve">– </w:t>
      </w:r>
      <w:r w:rsidRPr="003C0133">
        <w:rPr>
          <w:color w:val="222222"/>
          <w:shd w:val="clear" w:color="auto" w:fill="FFFFFF"/>
          <w:lang w:val="sr-Cyrl-RS"/>
        </w:rPr>
        <w:t xml:space="preserve">У ИТР </w:t>
      </w:r>
      <w:r w:rsidRPr="003C0133">
        <w:rPr>
          <w:lang w:val="sr-Cyrl-RS"/>
        </w:rPr>
        <w:t>прикупљају се</w:t>
      </w:r>
      <w:r w:rsidRPr="003C0133">
        <w:t xml:space="preserve"> </w:t>
      </w:r>
      <w:r w:rsidRPr="003C0133">
        <w:rPr>
          <w:lang w:val="pt-BR"/>
        </w:rPr>
        <w:t xml:space="preserve">све врсте субвенција од државе или других </w:t>
      </w:r>
      <w:r w:rsidRPr="003C0133">
        <w:t>предузећа</w:t>
      </w:r>
      <w:r w:rsidRPr="003C0133">
        <w:rPr>
          <w:lang w:val="pt-BR"/>
        </w:rPr>
        <w:t xml:space="preserve">, друштава или организација из </w:t>
      </w:r>
      <w:r w:rsidRPr="003C0133">
        <w:t>земље</w:t>
      </w:r>
      <w:r w:rsidRPr="003C0133">
        <w:rPr>
          <w:lang w:val="pt-BR"/>
        </w:rPr>
        <w:t xml:space="preserve"> или ино</w:t>
      </w:r>
      <w:r w:rsidRPr="003C0133">
        <w:t>странства</w:t>
      </w:r>
      <w:r w:rsidRPr="003C0133">
        <w:rPr>
          <w:lang w:val="pt-BR"/>
        </w:rPr>
        <w:t xml:space="preserve"> са сврхом субвенциони</w:t>
      </w:r>
      <w:r w:rsidRPr="003C0133">
        <w:t>сањ</w:t>
      </w:r>
      <w:r w:rsidRPr="003C0133">
        <w:rPr>
          <w:lang w:val="pt-BR"/>
        </w:rPr>
        <w:t>а дела трошка рада или целокупних трошкова рада. За израчунавање индекса трошкова рада укупни трошкови рада умањују се</w:t>
      </w:r>
      <w:r w:rsidRPr="003C0133">
        <w:rPr>
          <w:lang w:val="sr-Cyrl-RS"/>
        </w:rPr>
        <w:t xml:space="preserve"> само </w:t>
      </w:r>
      <w:r w:rsidRPr="003C0133">
        <w:rPr>
          <w:lang w:val="pt-BR"/>
        </w:rPr>
        <w:t xml:space="preserve">за износ субвенција </w:t>
      </w:r>
      <w:r w:rsidRPr="003C0133">
        <w:rPr>
          <w:lang w:val="sr-Cyrl-RS"/>
        </w:rPr>
        <w:t xml:space="preserve">које су преузете </w:t>
      </w:r>
      <w:r w:rsidRPr="003C0133">
        <w:rPr>
          <w:lang w:val="pt-BR"/>
        </w:rPr>
        <w:t>од Националне службе за запошља</w:t>
      </w:r>
      <w:r w:rsidRPr="003C0133">
        <w:rPr>
          <w:lang w:val="sr-Cyrl-RS"/>
        </w:rPr>
        <w:t>в</w:t>
      </w:r>
      <w:r w:rsidR="00A47A37" w:rsidRPr="003C0133">
        <w:rPr>
          <w:lang w:val="sr-Cyrl-RS"/>
        </w:rPr>
        <w:t>а</w:t>
      </w:r>
      <w:r w:rsidRPr="003C0133">
        <w:rPr>
          <w:lang w:val="sr-Cyrl-RS"/>
        </w:rPr>
        <w:t>ње</w:t>
      </w:r>
      <w:r>
        <w:rPr>
          <w:lang w:val="sr-Cyrl-RS"/>
        </w:rPr>
        <w:t>.</w:t>
      </w:r>
    </w:p>
    <w:p w14:paraId="5D515BCA" w14:textId="77777777" w:rsidR="00707E7E" w:rsidRPr="00F15C34" w:rsidRDefault="00707E7E" w:rsidP="00707E7E">
      <w:pPr>
        <w:pStyle w:val="Pasus"/>
        <w:ind w:left="1440" w:firstLine="0"/>
      </w:pPr>
    </w:p>
    <w:p w14:paraId="153B4EBE" w14:textId="77777777" w:rsidR="009007A2" w:rsidRPr="00973584" w:rsidRDefault="009007A2" w:rsidP="002B1199">
      <w:pPr>
        <w:pStyle w:val="Pasus"/>
        <w:ind w:left="1905" w:firstLine="0"/>
        <w:rPr>
          <w:color w:val="222222"/>
          <w:shd w:val="clear" w:color="auto" w:fill="FFFFFF"/>
          <w:lang w:val="sr-Cyrl-RS"/>
        </w:rPr>
      </w:pPr>
    </w:p>
    <w:p w14:paraId="7E3D3756" w14:textId="77777777" w:rsidR="003C0133" w:rsidRPr="003C0133" w:rsidRDefault="005074E5" w:rsidP="003C0133">
      <w:pPr>
        <w:pStyle w:val="Pasus"/>
        <w:ind w:left="0" w:firstLine="0"/>
        <w:rPr>
          <w:rFonts w:eastAsiaTheme="minorHAnsi"/>
          <w:color w:val="222222"/>
          <w:shd w:val="clear" w:color="auto" w:fill="FFFFFF"/>
          <w:lang w:val="sr-Cyrl-RS"/>
        </w:rPr>
      </w:pPr>
      <w:r w:rsidRPr="00973584">
        <w:rPr>
          <w:b/>
          <w:color w:val="222222"/>
          <w:shd w:val="clear" w:color="auto" w:fill="FFFFFF"/>
          <w:lang w:val="sr-Cyrl-RS"/>
        </w:rPr>
        <w:t>Обухват истраживања и методологија узорка.</w:t>
      </w:r>
    </w:p>
    <w:p w14:paraId="62E862DB" w14:textId="1A991812" w:rsidR="003C0133" w:rsidRPr="00837B47" w:rsidRDefault="005074E5" w:rsidP="003C0133">
      <w:pPr>
        <w:pStyle w:val="Pasus"/>
        <w:numPr>
          <w:ilvl w:val="1"/>
          <w:numId w:val="1"/>
        </w:numPr>
        <w:ind w:left="1080"/>
        <w:rPr>
          <w:rFonts w:eastAsiaTheme="minorHAnsi"/>
          <w:color w:val="222222"/>
          <w:shd w:val="clear" w:color="auto" w:fill="FFFFFF"/>
          <w:lang w:val="sr-Cyrl-RS"/>
        </w:rPr>
      </w:pPr>
      <w:r w:rsidRPr="00973584">
        <w:rPr>
          <w:color w:val="222222"/>
          <w:shd w:val="clear" w:color="auto" w:fill="FFFFFF"/>
          <w:lang w:val="sr-Cyrl-RS"/>
        </w:rPr>
        <w:t xml:space="preserve"> </w:t>
      </w:r>
      <w:r w:rsidR="003C0133" w:rsidRPr="00DE3367">
        <w:rPr>
          <w:color w:val="222222"/>
          <w:shd w:val="clear" w:color="auto" w:fill="FFFFFF"/>
        </w:rPr>
        <w:t xml:space="preserve">ИТР је истраживање на бази случајног узорка којe обухвата </w:t>
      </w:r>
      <w:r w:rsidR="003C0133" w:rsidRPr="00DE3367">
        <w:rPr>
          <w:color w:val="222222"/>
          <w:shd w:val="clear" w:color="auto" w:fill="FFFFFF"/>
          <w:lang w:val="sr-Cyrl-RS"/>
        </w:rPr>
        <w:t>пословне субјекте (правна лица</w:t>
      </w:r>
      <w:r w:rsidR="003C0133" w:rsidRPr="00DE3367">
        <w:rPr>
          <w:color w:val="222222"/>
          <w:shd w:val="clear" w:color="auto" w:fill="FFFFFF"/>
        </w:rPr>
        <w:t xml:space="preserve"> и предузетнике</w:t>
      </w:r>
      <w:r w:rsidR="003C0133" w:rsidRPr="00DE3367">
        <w:rPr>
          <w:color w:val="222222"/>
          <w:shd w:val="clear" w:color="auto" w:fill="FFFFFF"/>
          <w:lang w:val="sr-Cyrl-RS"/>
        </w:rPr>
        <w:t>)</w:t>
      </w:r>
      <w:r w:rsidR="003C0133" w:rsidRPr="00DE3367">
        <w:rPr>
          <w:color w:val="222222"/>
          <w:shd w:val="clear" w:color="auto" w:fill="FFFFFF"/>
        </w:rPr>
        <w:t xml:space="preserve"> са 10 и више запослених.</w:t>
      </w:r>
    </w:p>
    <w:p w14:paraId="082550CA" w14:textId="77777777" w:rsidR="003C0133" w:rsidRPr="00837B47" w:rsidRDefault="003C0133" w:rsidP="003C0133">
      <w:pPr>
        <w:pStyle w:val="Pasus"/>
        <w:ind w:left="1080" w:firstLine="0"/>
        <w:rPr>
          <w:rFonts w:eastAsiaTheme="minorHAnsi"/>
          <w:color w:val="222222"/>
          <w:shd w:val="clear" w:color="auto" w:fill="FFFFFF"/>
          <w:lang w:val="sr-Cyrl-RS"/>
        </w:rPr>
      </w:pPr>
    </w:p>
    <w:p w14:paraId="3F52712D" w14:textId="13A127C6" w:rsidR="00DE3367" w:rsidRDefault="00810769" w:rsidP="00DD3637">
      <w:pPr>
        <w:pStyle w:val="Pasus"/>
        <w:numPr>
          <w:ilvl w:val="1"/>
          <w:numId w:val="1"/>
        </w:numPr>
        <w:ind w:left="1080"/>
        <w:rPr>
          <w:rFonts w:eastAsiaTheme="minorHAnsi"/>
          <w:color w:val="222222"/>
          <w:shd w:val="clear" w:color="auto" w:fill="FFFFFF"/>
          <w:lang w:val="sr-Cyrl-RS"/>
        </w:rPr>
      </w:pPr>
      <w:r w:rsidRPr="00837B47">
        <w:rPr>
          <w:rFonts w:eastAsiaTheme="minorHAnsi"/>
          <w:color w:val="222222"/>
          <w:shd w:val="clear" w:color="auto" w:fill="FFFFFF"/>
          <w:lang w:val="sr-Cyrl-RS"/>
        </w:rPr>
        <w:t xml:space="preserve">Месечно истраживање о </w:t>
      </w:r>
      <w:r w:rsidRPr="003C0133">
        <w:rPr>
          <w:rFonts w:eastAsiaTheme="minorHAnsi"/>
          <w:color w:val="222222"/>
          <w:shd w:val="clear" w:color="auto" w:fill="FFFFFF"/>
          <w:lang w:val="sr-Cyrl-RS"/>
        </w:rPr>
        <w:t>запосленим</w:t>
      </w:r>
      <w:r w:rsidR="00134D82" w:rsidRPr="003C0133">
        <w:rPr>
          <w:rFonts w:eastAsiaTheme="minorHAnsi"/>
          <w:color w:val="222222"/>
          <w:shd w:val="clear" w:color="auto" w:fill="FFFFFF"/>
          <w:lang w:val="sr-Cyrl-RS"/>
        </w:rPr>
        <w:t>а</w:t>
      </w:r>
      <w:r w:rsidRPr="003C0133">
        <w:rPr>
          <w:rFonts w:eastAsiaTheme="minorHAnsi"/>
          <w:color w:val="222222"/>
          <w:shd w:val="clear" w:color="auto" w:fill="FFFFFF"/>
          <w:lang w:val="sr-Cyrl-RS"/>
        </w:rPr>
        <w:t xml:space="preserve"> и зарадама запослених</w:t>
      </w:r>
      <w:r w:rsidR="00134D82" w:rsidRPr="003C0133">
        <w:rPr>
          <w:rFonts w:eastAsiaTheme="minorHAnsi"/>
          <w:color w:val="222222"/>
          <w:shd w:val="clear" w:color="auto" w:fill="FFFFFF"/>
          <w:lang w:val="sr-Cyrl-RS"/>
        </w:rPr>
        <w:t xml:space="preserve"> (РАД</w:t>
      </w:r>
      <w:r w:rsidRPr="003C0133">
        <w:rPr>
          <w:rFonts w:eastAsiaTheme="minorHAnsi"/>
          <w:color w:val="222222"/>
          <w:shd w:val="clear" w:color="auto" w:fill="FFFFFF"/>
          <w:lang w:val="sr-Cyrl-RS"/>
        </w:rPr>
        <w:t>-1</w:t>
      </w:r>
      <w:r w:rsidR="0054405A" w:rsidRPr="003C0133">
        <w:rPr>
          <w:rFonts w:eastAsiaTheme="minorHAnsi"/>
          <w:color w:val="222222"/>
          <w:shd w:val="clear" w:color="auto" w:fill="FFFFFF"/>
          <w:lang w:val="sr-Cyrl-RS"/>
        </w:rPr>
        <w:t>) спроводи</w:t>
      </w:r>
      <w:r w:rsidRPr="003C0133">
        <w:rPr>
          <w:rFonts w:eastAsiaTheme="minorHAnsi"/>
          <w:color w:val="222222"/>
          <w:shd w:val="clear" w:color="auto" w:fill="FFFFFF"/>
          <w:lang w:val="sr-Cyrl-RS"/>
        </w:rPr>
        <w:t xml:space="preserve"> се на намерно </w:t>
      </w:r>
      <w:r w:rsidR="00F741C1" w:rsidRPr="003C0133">
        <w:rPr>
          <w:rFonts w:eastAsiaTheme="minorHAnsi"/>
          <w:color w:val="222222"/>
          <w:shd w:val="clear" w:color="auto" w:fill="FFFFFF"/>
          <w:lang w:val="sr-Cyrl-RS"/>
        </w:rPr>
        <w:t>изабраном узорку правних лица.</w:t>
      </w:r>
      <w:r w:rsidRPr="003C0133">
        <w:rPr>
          <w:rFonts w:eastAsiaTheme="minorHAnsi"/>
          <w:color w:val="222222"/>
          <w:shd w:val="clear" w:color="auto" w:fill="FFFFFF"/>
          <w:lang w:val="sr-Cyrl-RS"/>
        </w:rPr>
        <w:t xml:space="preserve"> Критеријум за избор у уз</w:t>
      </w:r>
      <w:r w:rsidR="0015430E">
        <w:rPr>
          <w:rFonts w:eastAsiaTheme="minorHAnsi"/>
          <w:color w:val="222222"/>
          <w:shd w:val="clear" w:color="auto" w:fill="FFFFFF"/>
          <w:lang w:val="sr-Cyrl-RS"/>
        </w:rPr>
        <w:t>орак представља број запослених,</w:t>
      </w:r>
      <w:r w:rsidRPr="003C0133">
        <w:rPr>
          <w:rFonts w:eastAsiaTheme="minorHAnsi"/>
          <w:color w:val="222222"/>
          <w:shd w:val="clear" w:color="auto" w:fill="FFFFFF"/>
          <w:lang w:val="sr-Cyrl-RS"/>
        </w:rPr>
        <w:t xml:space="preserve"> на основу којег се извештајне јединице бирају у узорак, од већих ка мањим. Узорак обухвата око 8000 извештајних јединица, што је око 65% од укупног броја запослених у привредним друштвима, предузећима, установама, за</w:t>
      </w:r>
      <w:r w:rsidR="00BD157D">
        <w:rPr>
          <w:rFonts w:eastAsiaTheme="minorHAnsi"/>
          <w:color w:val="222222"/>
          <w:shd w:val="clear" w:color="auto" w:fill="FFFFFF"/>
          <w:lang w:val="sr-Cyrl-RS"/>
        </w:rPr>
        <w:t>другама и другим организацијама</w:t>
      </w:r>
      <w:r w:rsidR="00CF42A9" w:rsidRPr="003C0133">
        <w:rPr>
          <w:rFonts w:eastAsiaTheme="minorHAnsi"/>
          <w:color w:val="222222"/>
          <w:shd w:val="clear" w:color="auto" w:fill="FFFFFF"/>
          <w:lang w:val="sr-Cyrl-RS"/>
        </w:rPr>
        <w:t>.</w:t>
      </w:r>
      <w:r w:rsidRPr="003C0133">
        <w:rPr>
          <w:rFonts w:eastAsiaTheme="minorHAnsi"/>
          <w:color w:val="222222"/>
          <w:shd w:val="clear" w:color="auto" w:fill="FFFFFF"/>
          <w:lang w:val="sr-Cyrl-RS"/>
        </w:rPr>
        <w:t xml:space="preserve"> Истраживањем нису обухваћени запослени у Министарству одбране и Министарству унут</w:t>
      </w:r>
      <w:r w:rsidR="0054405A" w:rsidRPr="003C0133">
        <w:rPr>
          <w:rFonts w:eastAsiaTheme="minorHAnsi"/>
          <w:color w:val="222222"/>
          <w:shd w:val="clear" w:color="auto" w:fill="FFFFFF"/>
          <w:lang w:val="sr-Cyrl-RS"/>
        </w:rPr>
        <w:t>рашњих послова Републике Србије</w:t>
      </w:r>
      <w:r w:rsidRPr="00837B47">
        <w:rPr>
          <w:rFonts w:eastAsiaTheme="minorHAnsi"/>
          <w:color w:val="222222"/>
          <w:shd w:val="clear" w:color="auto" w:fill="FFFFFF"/>
          <w:lang w:val="sr-Cyrl-RS"/>
        </w:rPr>
        <w:t xml:space="preserve">. </w:t>
      </w:r>
    </w:p>
    <w:p w14:paraId="3FED8974" w14:textId="77777777" w:rsidR="00BD157D" w:rsidRDefault="00BD157D" w:rsidP="00BD157D">
      <w:pPr>
        <w:pStyle w:val="ListParagraph"/>
        <w:rPr>
          <w:color w:val="222222"/>
          <w:shd w:val="clear" w:color="auto" w:fill="FFFFFF"/>
        </w:rPr>
      </w:pPr>
    </w:p>
    <w:p w14:paraId="1C33092C" w14:textId="77777777" w:rsidR="00E31163" w:rsidRPr="00837B47" w:rsidRDefault="00E31163" w:rsidP="00E31163">
      <w:pPr>
        <w:pStyle w:val="Pasus"/>
        <w:ind w:left="1080" w:firstLine="0"/>
        <w:rPr>
          <w:rFonts w:eastAsiaTheme="minorHAnsi"/>
          <w:color w:val="222222"/>
          <w:shd w:val="clear" w:color="auto" w:fill="FFFFFF"/>
          <w:lang w:val="sr-Cyrl-RS"/>
        </w:rPr>
      </w:pPr>
    </w:p>
    <w:p w14:paraId="6CF39ED8" w14:textId="3ED34112" w:rsidR="00E31163" w:rsidRPr="00837B47" w:rsidRDefault="00E31163" w:rsidP="00E31163">
      <w:pPr>
        <w:pStyle w:val="Pasus"/>
        <w:ind w:left="0" w:firstLine="0"/>
        <w:rPr>
          <w:rFonts w:eastAsiaTheme="minorHAnsi"/>
          <w:color w:val="222222"/>
          <w:shd w:val="clear" w:color="auto" w:fill="FFFFFF"/>
          <w:lang w:val="sr-Cyrl-RS"/>
        </w:rPr>
      </w:pPr>
      <w:r w:rsidRPr="00330980">
        <w:rPr>
          <w:b/>
          <w:color w:val="222222"/>
          <w:shd w:val="clear" w:color="auto" w:fill="FFFFFF"/>
          <w:lang w:val="sr-Cyrl-RS"/>
        </w:rPr>
        <w:t>Табела:</w:t>
      </w:r>
      <w:r w:rsidRPr="00330980">
        <w:rPr>
          <w:color w:val="000000"/>
        </w:rPr>
        <w:t xml:space="preserve"> Просечна годишња стопа раста укупних трошкова рада</w:t>
      </w:r>
      <w:r w:rsidRPr="00330980">
        <w:rPr>
          <w:color w:val="000000"/>
          <w:lang w:val="sr-Cyrl-RS"/>
        </w:rPr>
        <w:t xml:space="preserve"> (</w:t>
      </w:r>
      <w:r w:rsidRPr="00330980">
        <w:rPr>
          <w:color w:val="000000"/>
          <w:lang w:val="sr-Latn-RS"/>
        </w:rPr>
        <w:t>D</w:t>
      </w:r>
      <w:r w:rsidRPr="00330980">
        <w:rPr>
          <w:color w:val="000000"/>
          <w:lang w:val="sr-Cyrl-RS"/>
        </w:rPr>
        <w:t>)</w:t>
      </w:r>
      <w:r w:rsidRPr="00330980">
        <w:rPr>
          <w:color w:val="000000"/>
        </w:rPr>
        <w:t xml:space="preserve"> 2016/2012  </w:t>
      </w:r>
    </w:p>
    <w:p w14:paraId="5921B7B5" w14:textId="77777777" w:rsidR="002C0BE5" w:rsidRPr="00837B47" w:rsidRDefault="002C0BE5" w:rsidP="002C0BE5">
      <w:pPr>
        <w:pStyle w:val="Pasus"/>
        <w:ind w:left="1211" w:firstLine="0"/>
        <w:rPr>
          <w:rFonts w:eastAsiaTheme="minorHAnsi"/>
          <w:color w:val="222222"/>
          <w:shd w:val="clear" w:color="auto" w:fill="FFFFFF"/>
          <w:lang w:val="sr-Cyrl-RS"/>
        </w:rPr>
      </w:pPr>
    </w:p>
    <w:tbl>
      <w:tblPr>
        <w:tblW w:w="9743" w:type="dxa"/>
        <w:jc w:val="center"/>
        <w:tblCellMar>
          <w:left w:w="28" w:type="dxa"/>
          <w:right w:w="28" w:type="dxa"/>
        </w:tblCellMar>
        <w:tblLook w:val="04A0" w:firstRow="1" w:lastRow="0" w:firstColumn="1" w:lastColumn="0" w:noHBand="0" w:noVBand="1"/>
      </w:tblPr>
      <w:tblGrid>
        <w:gridCol w:w="4950"/>
        <w:gridCol w:w="2520"/>
        <w:gridCol w:w="2273"/>
      </w:tblGrid>
      <w:tr w:rsidR="008B526B" w:rsidRPr="00C959B2" w14:paraId="1273E86F" w14:textId="77777777" w:rsidTr="008B526B">
        <w:trPr>
          <w:trHeight w:val="966"/>
          <w:jc w:val="center"/>
        </w:trPr>
        <w:tc>
          <w:tcPr>
            <w:tcW w:w="4950" w:type="dxa"/>
            <w:vMerge w:val="restart"/>
            <w:tcBorders>
              <w:top w:val="single" w:sz="4" w:space="0" w:color="0C5499"/>
              <w:right w:val="single" w:sz="4" w:space="0" w:color="0C5499"/>
            </w:tcBorders>
            <w:shd w:val="clear" w:color="auto" w:fill="auto"/>
            <w:noWrap/>
            <w:vAlign w:val="bottom"/>
          </w:tcPr>
          <w:p w14:paraId="7D9182AD" w14:textId="77777777" w:rsidR="008B526B" w:rsidRPr="00837B47"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 </w:t>
            </w:r>
          </w:p>
        </w:tc>
        <w:tc>
          <w:tcPr>
            <w:tcW w:w="4793" w:type="dxa"/>
            <w:gridSpan w:val="2"/>
            <w:tcBorders>
              <w:top w:val="single" w:sz="4" w:space="0" w:color="0C5499"/>
              <w:left w:val="single" w:sz="4" w:space="0" w:color="0C5499"/>
              <w:bottom w:val="single" w:sz="4" w:space="0" w:color="0C5499"/>
              <w:right w:val="single" w:sz="4" w:space="0" w:color="0C5499"/>
            </w:tcBorders>
            <w:shd w:val="clear" w:color="auto" w:fill="auto"/>
            <w:vAlign w:val="center"/>
          </w:tcPr>
          <w:p w14:paraId="524F2494" w14:textId="1FB80516" w:rsidR="008B526B" w:rsidRPr="00837B47" w:rsidRDefault="008B526B" w:rsidP="00391018">
            <w:pPr>
              <w:spacing w:after="0" w:line="240" w:lineRule="auto"/>
              <w:jc w:val="center"/>
              <w:rPr>
                <w:rFonts w:ascii="Arial" w:eastAsia="Times New Roman" w:hAnsi="Arial" w:cs="Arial"/>
                <w:color w:val="000000"/>
                <w:sz w:val="18"/>
                <w:szCs w:val="18"/>
              </w:rPr>
            </w:pPr>
            <w:r w:rsidRPr="00837B47">
              <w:rPr>
                <w:rFonts w:ascii="Arial" w:eastAsia="Times New Roman" w:hAnsi="Arial" w:cs="Arial"/>
                <w:color w:val="000000"/>
                <w:sz w:val="18"/>
                <w:szCs w:val="18"/>
              </w:rPr>
              <w:t>Просечна годишња стопа раста укупних трошкова рада</w:t>
            </w:r>
            <w:r w:rsidR="00DF2A29">
              <w:rPr>
                <w:rFonts w:ascii="Arial" w:eastAsia="Times New Roman" w:hAnsi="Arial" w:cs="Arial"/>
                <w:color w:val="000000"/>
                <w:sz w:val="18"/>
                <w:szCs w:val="18"/>
                <w:lang w:val="sr-Latn-RS"/>
              </w:rPr>
              <w:t>,</w:t>
            </w:r>
            <w:r w:rsidRPr="00837B47">
              <w:rPr>
                <w:rFonts w:ascii="Arial" w:eastAsia="Times New Roman" w:hAnsi="Arial" w:cs="Arial"/>
                <w:color w:val="000000"/>
                <w:sz w:val="18"/>
                <w:szCs w:val="18"/>
              </w:rPr>
              <w:t xml:space="preserve">   </w:t>
            </w:r>
          </w:p>
          <w:p w14:paraId="413B13D0" w14:textId="77777777" w:rsidR="008B526B" w:rsidRPr="00C959B2" w:rsidRDefault="008B526B" w:rsidP="00391018">
            <w:pPr>
              <w:spacing w:after="0" w:line="240" w:lineRule="auto"/>
              <w:jc w:val="center"/>
              <w:rPr>
                <w:rFonts w:ascii="Arial" w:eastAsia="Times New Roman" w:hAnsi="Arial" w:cs="Arial"/>
                <w:color w:val="000000"/>
                <w:sz w:val="18"/>
                <w:szCs w:val="18"/>
              </w:rPr>
            </w:pPr>
            <w:r w:rsidRPr="006E1D5E">
              <w:rPr>
                <w:rFonts w:ascii="Arial" w:eastAsia="Times New Roman" w:hAnsi="Arial" w:cs="Arial"/>
                <w:color w:val="000000"/>
                <w:sz w:val="18"/>
                <w:szCs w:val="18"/>
              </w:rPr>
              <w:t>2016/</w:t>
            </w:r>
            <w:r w:rsidRPr="00C959B2">
              <w:rPr>
                <w:rFonts w:ascii="Arial" w:eastAsia="Times New Roman" w:hAnsi="Arial" w:cs="Arial"/>
                <w:color w:val="000000"/>
                <w:sz w:val="18"/>
                <w:szCs w:val="18"/>
              </w:rPr>
              <w:t xml:space="preserve">2012  </w:t>
            </w:r>
          </w:p>
        </w:tc>
      </w:tr>
      <w:tr w:rsidR="008B526B" w:rsidRPr="00202E83" w14:paraId="5E29294E" w14:textId="77777777" w:rsidTr="008B526B">
        <w:trPr>
          <w:trHeight w:val="575"/>
          <w:jc w:val="center"/>
        </w:trPr>
        <w:tc>
          <w:tcPr>
            <w:tcW w:w="4950" w:type="dxa"/>
            <w:vMerge/>
            <w:tcBorders>
              <w:bottom w:val="single" w:sz="4" w:space="0" w:color="0C5499"/>
              <w:right w:val="single" w:sz="4" w:space="0" w:color="0C5499"/>
            </w:tcBorders>
            <w:shd w:val="clear" w:color="auto" w:fill="auto"/>
            <w:noWrap/>
            <w:vAlign w:val="bottom"/>
            <w:hideMark/>
          </w:tcPr>
          <w:p w14:paraId="03A8A3F3" w14:textId="77777777" w:rsidR="008B526B" w:rsidRPr="00224758" w:rsidRDefault="008B526B" w:rsidP="00391018">
            <w:pPr>
              <w:spacing w:after="0" w:line="228" w:lineRule="auto"/>
              <w:rPr>
                <w:rFonts w:ascii="Arial" w:eastAsia="Times New Roman" w:hAnsi="Arial" w:cs="Arial"/>
                <w:sz w:val="18"/>
                <w:szCs w:val="18"/>
              </w:rPr>
            </w:pPr>
          </w:p>
        </w:tc>
        <w:tc>
          <w:tcPr>
            <w:tcW w:w="2520" w:type="dxa"/>
            <w:tcBorders>
              <w:top w:val="single" w:sz="4" w:space="0" w:color="0C5499"/>
              <w:left w:val="single" w:sz="4" w:space="0" w:color="0C5499"/>
              <w:bottom w:val="single" w:sz="4" w:space="0" w:color="0C5499"/>
              <w:right w:val="single" w:sz="4" w:space="0" w:color="0C5499"/>
            </w:tcBorders>
            <w:shd w:val="clear" w:color="auto" w:fill="auto"/>
            <w:vAlign w:val="center"/>
          </w:tcPr>
          <w:p w14:paraId="77A64889" w14:textId="77777777" w:rsidR="008B526B" w:rsidRPr="00224758" w:rsidRDefault="008B526B" w:rsidP="00391018">
            <w:pPr>
              <w:spacing w:before="120" w:after="120" w:line="228" w:lineRule="auto"/>
              <w:jc w:val="center"/>
              <w:rPr>
                <w:rFonts w:ascii="Arial" w:eastAsia="Times New Roman" w:hAnsi="Arial" w:cs="Arial"/>
                <w:sz w:val="18"/>
                <w:szCs w:val="18"/>
              </w:rPr>
            </w:pPr>
            <w:r w:rsidRPr="006E1D5E">
              <w:rPr>
                <w:rFonts w:ascii="Arial" w:eastAsia="Times New Roman" w:hAnsi="Arial" w:cs="Arial"/>
                <w:color w:val="000000"/>
                <w:sz w:val="18"/>
                <w:szCs w:val="18"/>
              </w:rPr>
              <w:t>ИТР</w:t>
            </w:r>
          </w:p>
        </w:tc>
        <w:tc>
          <w:tcPr>
            <w:tcW w:w="2273" w:type="dxa"/>
            <w:tcBorders>
              <w:top w:val="single" w:sz="4" w:space="0" w:color="0C5499"/>
              <w:left w:val="single" w:sz="4" w:space="0" w:color="0C5499"/>
              <w:bottom w:val="single" w:sz="4" w:space="0" w:color="0C5499"/>
              <w:right w:val="single" w:sz="4" w:space="0" w:color="0C5499"/>
            </w:tcBorders>
            <w:shd w:val="clear" w:color="auto" w:fill="auto"/>
            <w:vAlign w:val="center"/>
          </w:tcPr>
          <w:p w14:paraId="4139B6DE" w14:textId="77777777" w:rsidR="008B526B" w:rsidRPr="00202E83" w:rsidRDefault="008B526B" w:rsidP="00391018">
            <w:pPr>
              <w:spacing w:after="0" w:line="240" w:lineRule="auto"/>
              <w:jc w:val="center"/>
              <w:rPr>
                <w:rFonts w:ascii="Arial" w:eastAsia="Times New Roman" w:hAnsi="Arial" w:cs="Arial"/>
                <w:color w:val="000000"/>
                <w:sz w:val="18"/>
                <w:szCs w:val="18"/>
              </w:rPr>
            </w:pPr>
            <w:r w:rsidRPr="00202E83">
              <w:rPr>
                <w:rFonts w:ascii="Arial" w:eastAsia="Times New Roman" w:hAnsi="Arial" w:cs="Arial"/>
                <w:color w:val="000000"/>
                <w:sz w:val="18"/>
                <w:szCs w:val="18"/>
              </w:rPr>
              <w:t xml:space="preserve">Индекс трошкова рада </w:t>
            </w:r>
          </w:p>
        </w:tc>
      </w:tr>
      <w:tr w:rsidR="008B526B" w:rsidRPr="00C959B2" w14:paraId="7CA07D28" w14:textId="77777777" w:rsidTr="003C0133">
        <w:trPr>
          <w:trHeight w:val="251"/>
          <w:jc w:val="center"/>
        </w:trPr>
        <w:tc>
          <w:tcPr>
            <w:tcW w:w="4950" w:type="dxa"/>
            <w:tcBorders>
              <w:top w:val="single" w:sz="4" w:space="0" w:color="0C5499"/>
              <w:right w:val="single" w:sz="4" w:space="0" w:color="0C5499"/>
            </w:tcBorders>
            <w:shd w:val="clear" w:color="000000" w:fill="FFFFFF"/>
            <w:vAlign w:val="center"/>
          </w:tcPr>
          <w:p w14:paraId="6C227A30" w14:textId="77777777" w:rsidR="008B526B" w:rsidRPr="00224758" w:rsidRDefault="008B526B" w:rsidP="00391018">
            <w:pPr>
              <w:spacing w:after="0" w:line="228" w:lineRule="auto"/>
              <w:rPr>
                <w:rFonts w:ascii="Arial" w:eastAsia="Times New Roman" w:hAnsi="Arial" w:cs="Arial"/>
                <w:b/>
                <w:bCs/>
                <w:sz w:val="18"/>
                <w:szCs w:val="18"/>
              </w:rPr>
            </w:pPr>
          </w:p>
        </w:tc>
        <w:tc>
          <w:tcPr>
            <w:tcW w:w="2520" w:type="dxa"/>
            <w:tcBorders>
              <w:top w:val="single" w:sz="4" w:space="0" w:color="0C5499"/>
              <w:left w:val="single" w:sz="4" w:space="0" w:color="0C5499"/>
            </w:tcBorders>
            <w:shd w:val="clear" w:color="000000" w:fill="FFFFFF"/>
            <w:vAlign w:val="bottom"/>
          </w:tcPr>
          <w:p w14:paraId="01B67003" w14:textId="77777777" w:rsidR="008B526B" w:rsidRPr="00224758" w:rsidRDefault="008B526B" w:rsidP="00391018">
            <w:pPr>
              <w:spacing w:after="0" w:line="228" w:lineRule="auto"/>
              <w:jc w:val="right"/>
              <w:rPr>
                <w:rFonts w:ascii="Arial" w:eastAsia="Times New Roman" w:hAnsi="Arial" w:cs="Arial"/>
                <w:b/>
                <w:bCs/>
                <w:sz w:val="18"/>
                <w:szCs w:val="18"/>
              </w:rPr>
            </w:pPr>
          </w:p>
        </w:tc>
        <w:tc>
          <w:tcPr>
            <w:tcW w:w="2273" w:type="dxa"/>
            <w:tcBorders>
              <w:top w:val="single" w:sz="4" w:space="0" w:color="0C5499"/>
            </w:tcBorders>
            <w:shd w:val="clear" w:color="000000" w:fill="FFFFFF"/>
            <w:vAlign w:val="bottom"/>
          </w:tcPr>
          <w:p w14:paraId="4EF3DE35" w14:textId="77777777" w:rsidR="008B526B" w:rsidRPr="00224758" w:rsidRDefault="008B526B" w:rsidP="00391018">
            <w:pPr>
              <w:spacing w:after="0" w:line="228" w:lineRule="auto"/>
              <w:jc w:val="right"/>
              <w:rPr>
                <w:rFonts w:ascii="Arial" w:eastAsia="Times New Roman" w:hAnsi="Arial" w:cs="Arial"/>
                <w:b/>
                <w:bCs/>
                <w:sz w:val="18"/>
                <w:szCs w:val="18"/>
              </w:rPr>
            </w:pPr>
          </w:p>
        </w:tc>
      </w:tr>
      <w:tr w:rsidR="008B526B" w:rsidRPr="00C959B2" w14:paraId="5809BFBB" w14:textId="77777777" w:rsidTr="008B526B">
        <w:trPr>
          <w:trHeight w:val="20"/>
          <w:jc w:val="center"/>
        </w:trPr>
        <w:tc>
          <w:tcPr>
            <w:tcW w:w="4950" w:type="dxa"/>
            <w:tcBorders>
              <w:right w:val="single" w:sz="4" w:space="0" w:color="0C5499"/>
            </w:tcBorders>
            <w:shd w:val="clear" w:color="000000" w:fill="FFFFFF"/>
            <w:vAlign w:val="center"/>
          </w:tcPr>
          <w:p w14:paraId="33EE5993" w14:textId="77777777" w:rsidR="008B526B" w:rsidRPr="00224758" w:rsidRDefault="008B526B" w:rsidP="00391018">
            <w:pPr>
              <w:spacing w:after="0" w:line="228" w:lineRule="auto"/>
              <w:rPr>
                <w:rFonts w:ascii="Arial" w:eastAsia="Times New Roman" w:hAnsi="Arial" w:cs="Arial"/>
                <w:b/>
                <w:bCs/>
                <w:sz w:val="18"/>
                <w:szCs w:val="18"/>
              </w:rPr>
            </w:pPr>
            <w:r w:rsidRPr="00224758">
              <w:rPr>
                <w:rFonts w:ascii="Arial" w:eastAsia="Times New Roman" w:hAnsi="Arial" w:cs="Arial"/>
                <w:b/>
                <w:bCs/>
                <w:sz w:val="18"/>
                <w:szCs w:val="18"/>
              </w:rPr>
              <w:t xml:space="preserve">Укупно – сви сектори </w:t>
            </w:r>
          </w:p>
        </w:tc>
        <w:tc>
          <w:tcPr>
            <w:tcW w:w="2520" w:type="dxa"/>
            <w:tcBorders>
              <w:left w:val="single" w:sz="4" w:space="0" w:color="0C5499"/>
            </w:tcBorders>
            <w:shd w:val="clear" w:color="000000" w:fill="FFFFFF"/>
            <w:vAlign w:val="bottom"/>
          </w:tcPr>
          <w:p w14:paraId="59EF218F" w14:textId="77777777" w:rsidR="008B526B" w:rsidRPr="003C0133" w:rsidRDefault="008B526B" w:rsidP="00391018">
            <w:pPr>
              <w:spacing w:after="0" w:line="240" w:lineRule="auto"/>
              <w:jc w:val="right"/>
              <w:rPr>
                <w:rFonts w:ascii="Arial" w:eastAsia="Times New Roman" w:hAnsi="Arial" w:cs="Arial"/>
                <w:b/>
                <w:bCs/>
                <w:sz w:val="18"/>
                <w:szCs w:val="18"/>
              </w:rPr>
            </w:pPr>
            <w:r w:rsidRPr="003C0133">
              <w:rPr>
                <w:rFonts w:ascii="Arial" w:eastAsia="Times New Roman" w:hAnsi="Arial" w:cs="Arial"/>
                <w:b/>
                <w:bCs/>
                <w:sz w:val="18"/>
                <w:szCs w:val="18"/>
              </w:rPr>
              <w:t>4,2</w:t>
            </w:r>
          </w:p>
        </w:tc>
        <w:tc>
          <w:tcPr>
            <w:tcW w:w="2273" w:type="dxa"/>
            <w:shd w:val="clear" w:color="000000" w:fill="FFFFFF"/>
            <w:vAlign w:val="bottom"/>
          </w:tcPr>
          <w:p w14:paraId="45E75DE4" w14:textId="77777777" w:rsidR="008B526B" w:rsidRPr="003C0133" w:rsidRDefault="008B526B" w:rsidP="00391018">
            <w:pPr>
              <w:spacing w:after="0" w:line="240" w:lineRule="auto"/>
              <w:jc w:val="right"/>
              <w:rPr>
                <w:rFonts w:ascii="Arial" w:eastAsia="Times New Roman" w:hAnsi="Arial" w:cs="Arial"/>
                <w:b/>
                <w:bCs/>
                <w:sz w:val="18"/>
                <w:szCs w:val="18"/>
              </w:rPr>
            </w:pPr>
            <w:r w:rsidRPr="003C0133">
              <w:rPr>
                <w:rFonts w:ascii="Arial" w:eastAsia="Times New Roman" w:hAnsi="Arial" w:cs="Arial"/>
                <w:b/>
                <w:bCs/>
                <w:sz w:val="18"/>
                <w:szCs w:val="18"/>
              </w:rPr>
              <w:t>3,1</w:t>
            </w:r>
          </w:p>
        </w:tc>
      </w:tr>
      <w:tr w:rsidR="008B526B" w:rsidRPr="00C959B2" w14:paraId="341889AC" w14:textId="77777777" w:rsidTr="008B526B">
        <w:trPr>
          <w:trHeight w:val="20"/>
          <w:jc w:val="center"/>
        </w:trPr>
        <w:tc>
          <w:tcPr>
            <w:tcW w:w="4950" w:type="dxa"/>
            <w:tcBorders>
              <w:right w:val="single" w:sz="4" w:space="0" w:color="0C5499"/>
            </w:tcBorders>
            <w:shd w:val="clear" w:color="000000" w:fill="FFFFFF"/>
            <w:vAlign w:val="center"/>
          </w:tcPr>
          <w:p w14:paraId="090D42DA" w14:textId="77777777" w:rsidR="008B526B" w:rsidRPr="00224758" w:rsidRDefault="008B526B" w:rsidP="00391018">
            <w:pPr>
              <w:spacing w:after="0" w:line="228" w:lineRule="auto"/>
              <w:rPr>
                <w:rFonts w:ascii="Arial" w:eastAsia="Times New Roman" w:hAnsi="Arial" w:cs="Arial"/>
                <w:b/>
                <w:bCs/>
                <w:sz w:val="18"/>
                <w:szCs w:val="18"/>
              </w:rPr>
            </w:pPr>
            <w:r w:rsidRPr="00224758">
              <w:rPr>
                <w:rFonts w:ascii="Arial" w:eastAsia="Times New Roman" w:hAnsi="Arial" w:cs="Arial"/>
                <w:b/>
                <w:bCs/>
                <w:sz w:val="18"/>
                <w:szCs w:val="18"/>
              </w:rPr>
              <w:t>Укупно</w:t>
            </w:r>
            <w:r w:rsidRPr="00224758">
              <w:rPr>
                <w:rFonts w:ascii="Arial" w:eastAsia="Times New Roman" w:hAnsi="Arial" w:cs="Arial"/>
                <w:b/>
                <w:bCs/>
                <w:sz w:val="18"/>
                <w:szCs w:val="18"/>
                <w:lang w:val="sr-Latn-RS"/>
              </w:rPr>
              <w:t xml:space="preserve"> </w:t>
            </w:r>
            <w:r w:rsidRPr="00224758">
              <w:rPr>
                <w:rFonts w:ascii="Arial" w:eastAsia="Times New Roman" w:hAnsi="Arial" w:cs="Arial"/>
                <w:b/>
                <w:bCs/>
                <w:sz w:val="18"/>
                <w:szCs w:val="18"/>
              </w:rPr>
              <w:t>– без сектора  Пољопривреда, шумарство и рибарство</w:t>
            </w:r>
          </w:p>
        </w:tc>
        <w:tc>
          <w:tcPr>
            <w:tcW w:w="2520" w:type="dxa"/>
            <w:tcBorders>
              <w:left w:val="single" w:sz="4" w:space="0" w:color="0C5499"/>
            </w:tcBorders>
            <w:shd w:val="clear" w:color="000000" w:fill="FFFFFF"/>
            <w:vAlign w:val="bottom"/>
          </w:tcPr>
          <w:p w14:paraId="5CCA5779" w14:textId="77777777" w:rsidR="008B526B" w:rsidRPr="003C0133" w:rsidRDefault="008B526B" w:rsidP="00391018">
            <w:pPr>
              <w:spacing w:after="0" w:line="240" w:lineRule="auto"/>
              <w:jc w:val="right"/>
              <w:rPr>
                <w:rFonts w:ascii="Arial" w:eastAsia="Times New Roman" w:hAnsi="Arial" w:cs="Arial"/>
                <w:b/>
                <w:bCs/>
                <w:sz w:val="18"/>
                <w:szCs w:val="18"/>
              </w:rPr>
            </w:pPr>
            <w:r w:rsidRPr="003C0133">
              <w:rPr>
                <w:rFonts w:ascii="Arial" w:eastAsia="Times New Roman" w:hAnsi="Arial" w:cs="Arial"/>
                <w:b/>
                <w:bCs/>
                <w:sz w:val="18"/>
                <w:szCs w:val="18"/>
              </w:rPr>
              <w:t>4,0</w:t>
            </w:r>
          </w:p>
        </w:tc>
        <w:tc>
          <w:tcPr>
            <w:tcW w:w="2273" w:type="dxa"/>
            <w:shd w:val="clear" w:color="000000" w:fill="FFFFFF"/>
            <w:vAlign w:val="bottom"/>
          </w:tcPr>
          <w:p w14:paraId="598A9239" w14:textId="77777777" w:rsidR="008B526B" w:rsidRPr="003C0133" w:rsidRDefault="008B526B" w:rsidP="00391018">
            <w:pPr>
              <w:spacing w:after="0" w:line="240" w:lineRule="auto"/>
              <w:jc w:val="right"/>
              <w:rPr>
                <w:rFonts w:ascii="Arial" w:eastAsia="Times New Roman" w:hAnsi="Arial" w:cs="Arial"/>
                <w:b/>
                <w:bCs/>
                <w:sz w:val="18"/>
                <w:szCs w:val="18"/>
              </w:rPr>
            </w:pPr>
            <w:r w:rsidRPr="003C0133">
              <w:rPr>
                <w:rFonts w:ascii="Arial" w:eastAsia="Times New Roman" w:hAnsi="Arial" w:cs="Arial"/>
                <w:b/>
                <w:bCs/>
                <w:sz w:val="18"/>
                <w:szCs w:val="18"/>
              </w:rPr>
              <w:t>3,0</w:t>
            </w:r>
          </w:p>
        </w:tc>
      </w:tr>
      <w:tr w:rsidR="008B526B" w:rsidRPr="00C959B2" w14:paraId="13B16EB9" w14:textId="77777777" w:rsidTr="008B526B">
        <w:trPr>
          <w:trHeight w:val="20"/>
          <w:jc w:val="center"/>
        </w:trPr>
        <w:tc>
          <w:tcPr>
            <w:tcW w:w="4950" w:type="dxa"/>
            <w:tcBorders>
              <w:right w:val="single" w:sz="4" w:space="0" w:color="0C5499"/>
            </w:tcBorders>
            <w:shd w:val="clear" w:color="000000" w:fill="FFFFFF"/>
            <w:vAlign w:val="center"/>
          </w:tcPr>
          <w:p w14:paraId="2C6653B7" w14:textId="77777777" w:rsidR="008B526B" w:rsidRPr="00224758" w:rsidRDefault="008B526B" w:rsidP="00391018">
            <w:pPr>
              <w:spacing w:after="0" w:line="228" w:lineRule="auto"/>
              <w:rPr>
                <w:rFonts w:ascii="Arial" w:eastAsia="Times New Roman" w:hAnsi="Arial" w:cs="Arial"/>
                <w:b/>
                <w:bCs/>
                <w:sz w:val="18"/>
                <w:szCs w:val="18"/>
              </w:rPr>
            </w:pPr>
            <w:r w:rsidRPr="00224758">
              <w:rPr>
                <w:rFonts w:ascii="Arial" w:eastAsia="Times New Roman" w:hAnsi="Arial" w:cs="Arial"/>
                <w:sz w:val="18"/>
                <w:szCs w:val="18"/>
              </w:rPr>
              <w:t>Пољопривреда, шумарство и рибарство</w:t>
            </w:r>
          </w:p>
        </w:tc>
        <w:tc>
          <w:tcPr>
            <w:tcW w:w="2520" w:type="dxa"/>
            <w:tcBorders>
              <w:left w:val="single" w:sz="4" w:space="0" w:color="0C5499"/>
            </w:tcBorders>
            <w:shd w:val="clear" w:color="000000" w:fill="FFFFFF"/>
            <w:vAlign w:val="bottom"/>
          </w:tcPr>
          <w:p w14:paraId="6CA67137" w14:textId="77777777" w:rsidR="008B526B" w:rsidRPr="003C0133" w:rsidRDefault="008B526B" w:rsidP="00391018">
            <w:pPr>
              <w:spacing w:after="0" w:line="240" w:lineRule="auto"/>
              <w:jc w:val="right"/>
              <w:rPr>
                <w:rFonts w:ascii="Arial" w:eastAsia="Times New Roman" w:hAnsi="Arial" w:cs="Arial"/>
                <w:sz w:val="18"/>
                <w:szCs w:val="18"/>
              </w:rPr>
            </w:pPr>
            <w:r w:rsidRPr="003C0133">
              <w:rPr>
                <w:rFonts w:ascii="Arial" w:eastAsia="Times New Roman" w:hAnsi="Arial" w:cs="Arial"/>
                <w:sz w:val="18"/>
                <w:szCs w:val="18"/>
              </w:rPr>
              <w:t>16,6</w:t>
            </w:r>
          </w:p>
        </w:tc>
        <w:tc>
          <w:tcPr>
            <w:tcW w:w="2273" w:type="dxa"/>
            <w:shd w:val="clear" w:color="000000" w:fill="FFFFFF"/>
            <w:vAlign w:val="bottom"/>
          </w:tcPr>
          <w:p w14:paraId="48522DBC" w14:textId="77777777" w:rsidR="008B526B" w:rsidRPr="003C0133" w:rsidRDefault="008B526B" w:rsidP="00391018">
            <w:pPr>
              <w:spacing w:after="0" w:line="240" w:lineRule="auto"/>
              <w:jc w:val="right"/>
              <w:rPr>
                <w:rFonts w:ascii="Arial" w:eastAsia="Times New Roman" w:hAnsi="Arial" w:cs="Arial"/>
                <w:sz w:val="18"/>
                <w:szCs w:val="18"/>
              </w:rPr>
            </w:pPr>
            <w:r w:rsidRPr="003C0133">
              <w:rPr>
                <w:rFonts w:ascii="Arial" w:eastAsia="Times New Roman" w:hAnsi="Arial" w:cs="Arial"/>
                <w:sz w:val="18"/>
                <w:szCs w:val="18"/>
              </w:rPr>
              <w:t>1,9</w:t>
            </w:r>
          </w:p>
        </w:tc>
      </w:tr>
      <w:tr w:rsidR="008B526B" w:rsidRPr="00C959B2" w14:paraId="31F90C07" w14:textId="77777777" w:rsidTr="008B526B">
        <w:trPr>
          <w:trHeight w:val="20"/>
          <w:jc w:val="center"/>
        </w:trPr>
        <w:tc>
          <w:tcPr>
            <w:tcW w:w="4950" w:type="dxa"/>
            <w:tcBorders>
              <w:right w:val="single" w:sz="4" w:space="0" w:color="0C5499"/>
            </w:tcBorders>
            <w:shd w:val="clear" w:color="000000" w:fill="FFFFFF"/>
            <w:vAlign w:val="center"/>
          </w:tcPr>
          <w:p w14:paraId="18F1787D"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Рударство</w:t>
            </w:r>
          </w:p>
        </w:tc>
        <w:tc>
          <w:tcPr>
            <w:tcW w:w="2520" w:type="dxa"/>
            <w:tcBorders>
              <w:left w:val="single" w:sz="4" w:space="0" w:color="0C5499"/>
            </w:tcBorders>
            <w:shd w:val="clear" w:color="000000" w:fill="FFFFFF"/>
            <w:vAlign w:val="bottom"/>
          </w:tcPr>
          <w:p w14:paraId="02A81F9E" w14:textId="77777777" w:rsidR="008B526B" w:rsidRPr="003C0133" w:rsidRDefault="008B526B" w:rsidP="00391018">
            <w:pPr>
              <w:spacing w:after="0" w:line="240" w:lineRule="auto"/>
              <w:jc w:val="right"/>
              <w:rPr>
                <w:rFonts w:ascii="Arial" w:eastAsia="Times New Roman" w:hAnsi="Arial" w:cs="Arial"/>
                <w:sz w:val="18"/>
                <w:szCs w:val="18"/>
              </w:rPr>
            </w:pPr>
            <w:r w:rsidRPr="003C0133">
              <w:rPr>
                <w:rFonts w:ascii="Arial" w:eastAsia="Times New Roman" w:hAnsi="Arial" w:cs="Arial"/>
                <w:sz w:val="18"/>
                <w:szCs w:val="18"/>
              </w:rPr>
              <w:t>14,5</w:t>
            </w:r>
          </w:p>
        </w:tc>
        <w:tc>
          <w:tcPr>
            <w:tcW w:w="2273" w:type="dxa"/>
            <w:shd w:val="clear" w:color="000000" w:fill="FFFFFF"/>
            <w:vAlign w:val="bottom"/>
          </w:tcPr>
          <w:p w14:paraId="06D19977" w14:textId="77777777" w:rsidR="008B526B" w:rsidRPr="003C0133" w:rsidRDefault="008B526B" w:rsidP="00391018">
            <w:pPr>
              <w:spacing w:after="0" w:line="240" w:lineRule="auto"/>
              <w:jc w:val="right"/>
              <w:rPr>
                <w:rFonts w:ascii="Arial" w:eastAsia="Times New Roman" w:hAnsi="Arial" w:cs="Arial"/>
                <w:sz w:val="18"/>
                <w:szCs w:val="18"/>
              </w:rPr>
            </w:pPr>
            <w:r w:rsidRPr="003C0133">
              <w:rPr>
                <w:rFonts w:ascii="Arial" w:eastAsia="Times New Roman" w:hAnsi="Arial" w:cs="Arial"/>
                <w:sz w:val="18"/>
                <w:szCs w:val="18"/>
              </w:rPr>
              <w:t>6,6</w:t>
            </w:r>
          </w:p>
        </w:tc>
      </w:tr>
      <w:tr w:rsidR="008B526B" w:rsidRPr="00C959B2" w14:paraId="4667B8C8" w14:textId="77777777" w:rsidTr="008B526B">
        <w:trPr>
          <w:trHeight w:val="20"/>
          <w:jc w:val="center"/>
        </w:trPr>
        <w:tc>
          <w:tcPr>
            <w:tcW w:w="4950" w:type="dxa"/>
            <w:tcBorders>
              <w:right w:val="single" w:sz="4" w:space="0" w:color="0C5499"/>
            </w:tcBorders>
            <w:shd w:val="clear" w:color="000000" w:fill="FFFFFF"/>
            <w:vAlign w:val="center"/>
          </w:tcPr>
          <w:p w14:paraId="3A4F2FF1"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Прерађивачка индустрија</w:t>
            </w:r>
          </w:p>
        </w:tc>
        <w:tc>
          <w:tcPr>
            <w:tcW w:w="2520" w:type="dxa"/>
            <w:tcBorders>
              <w:left w:val="single" w:sz="4" w:space="0" w:color="0C5499"/>
            </w:tcBorders>
            <w:shd w:val="clear" w:color="000000" w:fill="FFFFFF"/>
            <w:vAlign w:val="bottom"/>
          </w:tcPr>
          <w:p w14:paraId="0AEEFF1E"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6</w:t>
            </w:r>
            <w:r>
              <w:rPr>
                <w:rFonts w:ascii="Arial" w:eastAsia="Times New Roman" w:hAnsi="Arial" w:cs="Arial"/>
                <w:sz w:val="18"/>
                <w:szCs w:val="18"/>
              </w:rPr>
              <w:t>,</w:t>
            </w:r>
            <w:r w:rsidRPr="006E1D5E">
              <w:rPr>
                <w:rFonts w:ascii="Arial" w:eastAsia="Times New Roman" w:hAnsi="Arial" w:cs="Arial"/>
                <w:sz w:val="18"/>
                <w:szCs w:val="18"/>
              </w:rPr>
              <w:t>3</w:t>
            </w:r>
          </w:p>
        </w:tc>
        <w:tc>
          <w:tcPr>
            <w:tcW w:w="2273" w:type="dxa"/>
            <w:shd w:val="clear" w:color="000000" w:fill="FFFFFF"/>
            <w:vAlign w:val="bottom"/>
          </w:tcPr>
          <w:p w14:paraId="0DBDD381"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6</w:t>
            </w:r>
            <w:r>
              <w:rPr>
                <w:rFonts w:ascii="Arial" w:eastAsia="Times New Roman" w:hAnsi="Arial" w:cs="Arial"/>
                <w:sz w:val="18"/>
                <w:szCs w:val="18"/>
              </w:rPr>
              <w:t>,</w:t>
            </w:r>
            <w:r w:rsidRPr="006E1D5E">
              <w:rPr>
                <w:rFonts w:ascii="Arial" w:eastAsia="Times New Roman" w:hAnsi="Arial" w:cs="Arial"/>
                <w:sz w:val="18"/>
                <w:szCs w:val="18"/>
              </w:rPr>
              <w:t>9</w:t>
            </w:r>
          </w:p>
        </w:tc>
      </w:tr>
      <w:tr w:rsidR="008B526B" w:rsidRPr="00C959B2" w14:paraId="5410765E" w14:textId="77777777" w:rsidTr="008B526B">
        <w:trPr>
          <w:trHeight w:val="20"/>
          <w:jc w:val="center"/>
        </w:trPr>
        <w:tc>
          <w:tcPr>
            <w:tcW w:w="4950" w:type="dxa"/>
            <w:tcBorders>
              <w:right w:val="single" w:sz="4" w:space="0" w:color="0C5499"/>
            </w:tcBorders>
            <w:shd w:val="clear" w:color="000000" w:fill="FFFFFF"/>
            <w:vAlign w:val="center"/>
          </w:tcPr>
          <w:p w14:paraId="14289DFC"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Снабдевање електричном енергијом, гасом и паром</w:t>
            </w:r>
          </w:p>
        </w:tc>
        <w:tc>
          <w:tcPr>
            <w:tcW w:w="2520" w:type="dxa"/>
            <w:tcBorders>
              <w:left w:val="single" w:sz="4" w:space="0" w:color="0C5499"/>
            </w:tcBorders>
            <w:shd w:val="clear" w:color="000000" w:fill="FFFFFF"/>
            <w:vAlign w:val="bottom"/>
          </w:tcPr>
          <w:p w14:paraId="75419167"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9</w:t>
            </w:r>
            <w:r>
              <w:rPr>
                <w:rFonts w:ascii="Arial" w:eastAsia="Times New Roman" w:hAnsi="Arial" w:cs="Arial"/>
                <w:sz w:val="18"/>
                <w:szCs w:val="18"/>
              </w:rPr>
              <w:t>,</w:t>
            </w:r>
            <w:r w:rsidRPr="006E1D5E">
              <w:rPr>
                <w:rFonts w:ascii="Arial" w:eastAsia="Times New Roman" w:hAnsi="Arial" w:cs="Arial"/>
                <w:sz w:val="18"/>
                <w:szCs w:val="18"/>
              </w:rPr>
              <w:t>1</w:t>
            </w:r>
          </w:p>
        </w:tc>
        <w:tc>
          <w:tcPr>
            <w:tcW w:w="2273" w:type="dxa"/>
            <w:shd w:val="clear" w:color="000000" w:fill="FFFFFF"/>
            <w:vAlign w:val="bottom"/>
          </w:tcPr>
          <w:p w14:paraId="6F7419D8"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1</w:t>
            </w:r>
            <w:r>
              <w:rPr>
                <w:rFonts w:ascii="Arial" w:eastAsia="Times New Roman" w:hAnsi="Arial" w:cs="Arial"/>
                <w:sz w:val="18"/>
                <w:szCs w:val="18"/>
              </w:rPr>
              <w:t>,</w:t>
            </w:r>
            <w:r w:rsidRPr="006E1D5E">
              <w:rPr>
                <w:rFonts w:ascii="Arial" w:eastAsia="Times New Roman" w:hAnsi="Arial" w:cs="Arial"/>
                <w:sz w:val="18"/>
                <w:szCs w:val="18"/>
              </w:rPr>
              <w:t>6</w:t>
            </w:r>
          </w:p>
        </w:tc>
      </w:tr>
      <w:tr w:rsidR="008B526B" w:rsidRPr="00C959B2" w14:paraId="3DB78B9B" w14:textId="77777777" w:rsidTr="008B526B">
        <w:trPr>
          <w:trHeight w:val="20"/>
          <w:jc w:val="center"/>
        </w:trPr>
        <w:tc>
          <w:tcPr>
            <w:tcW w:w="4950" w:type="dxa"/>
            <w:tcBorders>
              <w:right w:val="single" w:sz="4" w:space="0" w:color="0C5499"/>
            </w:tcBorders>
            <w:shd w:val="clear" w:color="000000" w:fill="FFFFFF"/>
            <w:vAlign w:val="center"/>
          </w:tcPr>
          <w:p w14:paraId="1699DA94"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Снабдевање водом и управљање отпадним водама</w:t>
            </w:r>
          </w:p>
        </w:tc>
        <w:tc>
          <w:tcPr>
            <w:tcW w:w="2520" w:type="dxa"/>
            <w:tcBorders>
              <w:left w:val="single" w:sz="4" w:space="0" w:color="0C5499"/>
            </w:tcBorders>
            <w:shd w:val="clear" w:color="000000" w:fill="FFFFFF"/>
            <w:vAlign w:val="bottom"/>
          </w:tcPr>
          <w:p w14:paraId="27631EDB"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14</w:t>
            </w:r>
            <w:r>
              <w:rPr>
                <w:rFonts w:ascii="Arial" w:eastAsia="Times New Roman" w:hAnsi="Arial" w:cs="Arial"/>
                <w:sz w:val="18"/>
                <w:szCs w:val="18"/>
              </w:rPr>
              <w:t>,</w:t>
            </w:r>
            <w:r w:rsidRPr="006E1D5E">
              <w:rPr>
                <w:rFonts w:ascii="Arial" w:eastAsia="Times New Roman" w:hAnsi="Arial" w:cs="Arial"/>
                <w:sz w:val="18"/>
                <w:szCs w:val="18"/>
              </w:rPr>
              <w:t>3</w:t>
            </w:r>
          </w:p>
        </w:tc>
        <w:tc>
          <w:tcPr>
            <w:tcW w:w="2273" w:type="dxa"/>
            <w:shd w:val="clear" w:color="000000" w:fill="FFFFFF"/>
            <w:vAlign w:val="bottom"/>
          </w:tcPr>
          <w:p w14:paraId="20A38F27"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0</w:t>
            </w:r>
            <w:r>
              <w:rPr>
                <w:rFonts w:ascii="Arial" w:eastAsia="Times New Roman" w:hAnsi="Arial" w:cs="Arial"/>
                <w:sz w:val="18"/>
                <w:szCs w:val="18"/>
              </w:rPr>
              <w:t>,</w:t>
            </w:r>
            <w:r w:rsidRPr="006E1D5E">
              <w:rPr>
                <w:rFonts w:ascii="Arial" w:eastAsia="Times New Roman" w:hAnsi="Arial" w:cs="Arial"/>
                <w:sz w:val="18"/>
                <w:szCs w:val="18"/>
              </w:rPr>
              <w:t>3</w:t>
            </w:r>
          </w:p>
        </w:tc>
      </w:tr>
      <w:tr w:rsidR="008B526B" w:rsidRPr="00C959B2" w14:paraId="70E8A150" w14:textId="77777777" w:rsidTr="008B526B">
        <w:trPr>
          <w:trHeight w:val="20"/>
          <w:jc w:val="center"/>
        </w:trPr>
        <w:tc>
          <w:tcPr>
            <w:tcW w:w="4950" w:type="dxa"/>
            <w:tcBorders>
              <w:right w:val="single" w:sz="4" w:space="0" w:color="0C5499"/>
            </w:tcBorders>
            <w:shd w:val="clear" w:color="000000" w:fill="FFFFFF"/>
            <w:vAlign w:val="center"/>
          </w:tcPr>
          <w:p w14:paraId="45739B3D"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Грађевинарство</w:t>
            </w:r>
          </w:p>
        </w:tc>
        <w:tc>
          <w:tcPr>
            <w:tcW w:w="2520" w:type="dxa"/>
            <w:tcBorders>
              <w:left w:val="single" w:sz="4" w:space="0" w:color="0C5499"/>
            </w:tcBorders>
            <w:shd w:val="clear" w:color="000000" w:fill="FFFFFF"/>
            <w:vAlign w:val="bottom"/>
          </w:tcPr>
          <w:p w14:paraId="7F175C81"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1</w:t>
            </w:r>
            <w:r>
              <w:rPr>
                <w:rFonts w:ascii="Arial" w:eastAsia="Times New Roman" w:hAnsi="Arial" w:cs="Arial"/>
                <w:sz w:val="18"/>
                <w:szCs w:val="18"/>
              </w:rPr>
              <w:t>,</w:t>
            </w:r>
            <w:r w:rsidRPr="006E1D5E">
              <w:rPr>
                <w:rFonts w:ascii="Arial" w:eastAsia="Times New Roman" w:hAnsi="Arial" w:cs="Arial"/>
                <w:sz w:val="18"/>
                <w:szCs w:val="18"/>
              </w:rPr>
              <w:t>3</w:t>
            </w:r>
          </w:p>
        </w:tc>
        <w:tc>
          <w:tcPr>
            <w:tcW w:w="2273" w:type="dxa"/>
            <w:shd w:val="clear" w:color="000000" w:fill="FFFFFF"/>
            <w:vAlign w:val="bottom"/>
          </w:tcPr>
          <w:p w14:paraId="3E44CFE7"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3</w:t>
            </w:r>
            <w:r>
              <w:rPr>
                <w:rFonts w:ascii="Arial" w:eastAsia="Times New Roman" w:hAnsi="Arial" w:cs="Arial"/>
                <w:sz w:val="18"/>
                <w:szCs w:val="18"/>
              </w:rPr>
              <w:t>,</w:t>
            </w:r>
            <w:r w:rsidRPr="006E1D5E">
              <w:rPr>
                <w:rFonts w:ascii="Arial" w:eastAsia="Times New Roman" w:hAnsi="Arial" w:cs="Arial"/>
                <w:sz w:val="18"/>
                <w:szCs w:val="18"/>
              </w:rPr>
              <w:t>4</w:t>
            </w:r>
          </w:p>
        </w:tc>
      </w:tr>
      <w:tr w:rsidR="008B526B" w:rsidRPr="00C959B2" w14:paraId="1111C497" w14:textId="77777777" w:rsidTr="008B526B">
        <w:trPr>
          <w:trHeight w:val="20"/>
          <w:jc w:val="center"/>
        </w:trPr>
        <w:tc>
          <w:tcPr>
            <w:tcW w:w="4950" w:type="dxa"/>
            <w:tcBorders>
              <w:right w:val="single" w:sz="4" w:space="0" w:color="0C5499"/>
            </w:tcBorders>
            <w:shd w:val="clear" w:color="000000" w:fill="FFFFFF"/>
            <w:vAlign w:val="center"/>
          </w:tcPr>
          <w:p w14:paraId="27817672"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Трговина на велико и мало и поправка моторних возила</w:t>
            </w:r>
          </w:p>
        </w:tc>
        <w:tc>
          <w:tcPr>
            <w:tcW w:w="2520" w:type="dxa"/>
            <w:tcBorders>
              <w:left w:val="single" w:sz="4" w:space="0" w:color="0C5499"/>
            </w:tcBorders>
            <w:shd w:val="clear" w:color="000000" w:fill="FFFFFF"/>
            <w:vAlign w:val="bottom"/>
          </w:tcPr>
          <w:p w14:paraId="2CA9BAF9"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4</w:t>
            </w:r>
            <w:r>
              <w:rPr>
                <w:rFonts w:ascii="Arial" w:eastAsia="Times New Roman" w:hAnsi="Arial" w:cs="Arial"/>
                <w:sz w:val="18"/>
                <w:szCs w:val="18"/>
              </w:rPr>
              <w:t>,</w:t>
            </w:r>
            <w:r w:rsidRPr="006E1D5E">
              <w:rPr>
                <w:rFonts w:ascii="Arial" w:eastAsia="Times New Roman" w:hAnsi="Arial" w:cs="Arial"/>
                <w:sz w:val="18"/>
                <w:szCs w:val="18"/>
              </w:rPr>
              <w:t>8</w:t>
            </w:r>
          </w:p>
        </w:tc>
        <w:tc>
          <w:tcPr>
            <w:tcW w:w="2273" w:type="dxa"/>
            <w:shd w:val="clear" w:color="000000" w:fill="FFFFFF"/>
            <w:vAlign w:val="bottom"/>
          </w:tcPr>
          <w:p w14:paraId="0676A7D8"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5</w:t>
            </w:r>
            <w:r>
              <w:rPr>
                <w:rFonts w:ascii="Arial" w:eastAsia="Times New Roman" w:hAnsi="Arial" w:cs="Arial"/>
                <w:sz w:val="18"/>
                <w:szCs w:val="18"/>
              </w:rPr>
              <w:t>,</w:t>
            </w:r>
            <w:r w:rsidRPr="006E1D5E">
              <w:rPr>
                <w:rFonts w:ascii="Arial" w:eastAsia="Times New Roman" w:hAnsi="Arial" w:cs="Arial"/>
                <w:sz w:val="18"/>
                <w:szCs w:val="18"/>
              </w:rPr>
              <w:t>7</w:t>
            </w:r>
          </w:p>
        </w:tc>
      </w:tr>
      <w:tr w:rsidR="008B526B" w:rsidRPr="00C959B2" w14:paraId="1E2D9DDB" w14:textId="77777777" w:rsidTr="008B526B">
        <w:trPr>
          <w:trHeight w:val="20"/>
          <w:jc w:val="center"/>
        </w:trPr>
        <w:tc>
          <w:tcPr>
            <w:tcW w:w="4950" w:type="dxa"/>
            <w:tcBorders>
              <w:right w:val="single" w:sz="4" w:space="0" w:color="0C5499"/>
            </w:tcBorders>
            <w:shd w:val="clear" w:color="000000" w:fill="FFFFFF"/>
            <w:vAlign w:val="center"/>
          </w:tcPr>
          <w:p w14:paraId="71AF9464"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Саобраћај и складиштење</w:t>
            </w:r>
          </w:p>
        </w:tc>
        <w:tc>
          <w:tcPr>
            <w:tcW w:w="2520" w:type="dxa"/>
            <w:tcBorders>
              <w:left w:val="single" w:sz="4" w:space="0" w:color="0C5499"/>
            </w:tcBorders>
            <w:shd w:val="clear" w:color="000000" w:fill="FFFFFF"/>
            <w:vAlign w:val="bottom"/>
          </w:tcPr>
          <w:p w14:paraId="77DCC1BA"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-13</w:t>
            </w:r>
            <w:r>
              <w:rPr>
                <w:rFonts w:ascii="Arial" w:eastAsia="Times New Roman" w:hAnsi="Arial" w:cs="Arial"/>
                <w:sz w:val="18"/>
                <w:szCs w:val="18"/>
              </w:rPr>
              <w:t>,</w:t>
            </w:r>
            <w:r w:rsidRPr="006E1D5E">
              <w:rPr>
                <w:rFonts w:ascii="Arial" w:eastAsia="Times New Roman" w:hAnsi="Arial" w:cs="Arial"/>
                <w:sz w:val="18"/>
                <w:szCs w:val="18"/>
              </w:rPr>
              <w:t>2</w:t>
            </w:r>
          </w:p>
        </w:tc>
        <w:tc>
          <w:tcPr>
            <w:tcW w:w="2273" w:type="dxa"/>
            <w:shd w:val="clear" w:color="000000" w:fill="FFFFFF"/>
            <w:vAlign w:val="bottom"/>
          </w:tcPr>
          <w:p w14:paraId="6B00F115"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3</w:t>
            </w:r>
            <w:r>
              <w:rPr>
                <w:rFonts w:ascii="Arial" w:eastAsia="Times New Roman" w:hAnsi="Arial" w:cs="Arial"/>
                <w:sz w:val="18"/>
                <w:szCs w:val="18"/>
              </w:rPr>
              <w:t>,</w:t>
            </w:r>
            <w:r w:rsidRPr="006E1D5E">
              <w:rPr>
                <w:rFonts w:ascii="Arial" w:eastAsia="Times New Roman" w:hAnsi="Arial" w:cs="Arial"/>
                <w:sz w:val="18"/>
                <w:szCs w:val="18"/>
              </w:rPr>
              <w:t>1</w:t>
            </w:r>
          </w:p>
        </w:tc>
      </w:tr>
      <w:tr w:rsidR="008B526B" w:rsidRPr="00C959B2" w14:paraId="2717C27A" w14:textId="77777777" w:rsidTr="008B526B">
        <w:trPr>
          <w:trHeight w:val="20"/>
          <w:jc w:val="center"/>
        </w:trPr>
        <w:tc>
          <w:tcPr>
            <w:tcW w:w="4950" w:type="dxa"/>
            <w:tcBorders>
              <w:right w:val="single" w:sz="4" w:space="0" w:color="0C5499"/>
            </w:tcBorders>
            <w:shd w:val="clear" w:color="000000" w:fill="FFFFFF"/>
            <w:vAlign w:val="center"/>
          </w:tcPr>
          <w:p w14:paraId="570D8B56"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Услуге смештаја и исхране</w:t>
            </w:r>
          </w:p>
        </w:tc>
        <w:tc>
          <w:tcPr>
            <w:tcW w:w="2520" w:type="dxa"/>
            <w:tcBorders>
              <w:left w:val="single" w:sz="4" w:space="0" w:color="0C5499"/>
            </w:tcBorders>
            <w:shd w:val="clear" w:color="000000" w:fill="FFFFFF"/>
            <w:vAlign w:val="bottom"/>
          </w:tcPr>
          <w:p w14:paraId="3DA74599"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-4</w:t>
            </w:r>
            <w:r>
              <w:rPr>
                <w:rFonts w:ascii="Arial" w:eastAsia="Times New Roman" w:hAnsi="Arial" w:cs="Arial"/>
                <w:sz w:val="18"/>
                <w:szCs w:val="18"/>
              </w:rPr>
              <w:t>,</w:t>
            </w:r>
            <w:r w:rsidRPr="006E1D5E">
              <w:rPr>
                <w:rFonts w:ascii="Arial" w:eastAsia="Times New Roman" w:hAnsi="Arial" w:cs="Arial"/>
                <w:sz w:val="18"/>
                <w:szCs w:val="18"/>
              </w:rPr>
              <w:t>8</w:t>
            </w:r>
          </w:p>
        </w:tc>
        <w:tc>
          <w:tcPr>
            <w:tcW w:w="2273" w:type="dxa"/>
            <w:shd w:val="clear" w:color="000000" w:fill="FFFFFF"/>
            <w:vAlign w:val="bottom"/>
          </w:tcPr>
          <w:p w14:paraId="5525D2E0"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12</w:t>
            </w:r>
            <w:r>
              <w:rPr>
                <w:rFonts w:ascii="Arial" w:eastAsia="Times New Roman" w:hAnsi="Arial" w:cs="Arial"/>
                <w:sz w:val="18"/>
                <w:szCs w:val="18"/>
              </w:rPr>
              <w:t>,</w:t>
            </w:r>
            <w:r w:rsidRPr="006E1D5E">
              <w:rPr>
                <w:rFonts w:ascii="Arial" w:eastAsia="Times New Roman" w:hAnsi="Arial" w:cs="Arial"/>
                <w:sz w:val="18"/>
                <w:szCs w:val="18"/>
              </w:rPr>
              <w:t>2</w:t>
            </w:r>
          </w:p>
        </w:tc>
      </w:tr>
      <w:tr w:rsidR="008B526B" w:rsidRPr="00C959B2" w14:paraId="142D49EA" w14:textId="77777777" w:rsidTr="008B526B">
        <w:trPr>
          <w:trHeight w:val="20"/>
          <w:jc w:val="center"/>
        </w:trPr>
        <w:tc>
          <w:tcPr>
            <w:tcW w:w="4950" w:type="dxa"/>
            <w:tcBorders>
              <w:right w:val="single" w:sz="4" w:space="0" w:color="0C5499"/>
            </w:tcBorders>
            <w:shd w:val="clear" w:color="000000" w:fill="FFFFFF"/>
            <w:vAlign w:val="center"/>
          </w:tcPr>
          <w:p w14:paraId="558C99C3"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Информисање и комуникације</w:t>
            </w:r>
          </w:p>
        </w:tc>
        <w:tc>
          <w:tcPr>
            <w:tcW w:w="2520" w:type="dxa"/>
            <w:tcBorders>
              <w:left w:val="single" w:sz="4" w:space="0" w:color="0C5499"/>
            </w:tcBorders>
            <w:shd w:val="clear" w:color="000000" w:fill="FFFFFF"/>
            <w:vAlign w:val="bottom"/>
          </w:tcPr>
          <w:p w14:paraId="0DF3A6B5"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38</w:t>
            </w:r>
            <w:r>
              <w:rPr>
                <w:rFonts w:ascii="Arial" w:eastAsia="Times New Roman" w:hAnsi="Arial" w:cs="Arial"/>
                <w:sz w:val="18"/>
                <w:szCs w:val="18"/>
              </w:rPr>
              <w:t>,</w:t>
            </w:r>
            <w:r w:rsidRPr="006E1D5E">
              <w:rPr>
                <w:rFonts w:ascii="Arial" w:eastAsia="Times New Roman" w:hAnsi="Arial" w:cs="Arial"/>
                <w:sz w:val="18"/>
                <w:szCs w:val="18"/>
              </w:rPr>
              <w:t>6</w:t>
            </w:r>
          </w:p>
        </w:tc>
        <w:tc>
          <w:tcPr>
            <w:tcW w:w="2273" w:type="dxa"/>
            <w:shd w:val="clear" w:color="000000" w:fill="FFFFFF"/>
            <w:vAlign w:val="bottom"/>
          </w:tcPr>
          <w:p w14:paraId="574F3190"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30</w:t>
            </w:r>
            <w:r>
              <w:rPr>
                <w:rFonts w:ascii="Arial" w:eastAsia="Times New Roman" w:hAnsi="Arial" w:cs="Arial"/>
                <w:sz w:val="18"/>
                <w:szCs w:val="18"/>
              </w:rPr>
              <w:t>,</w:t>
            </w:r>
            <w:r w:rsidRPr="006E1D5E">
              <w:rPr>
                <w:rFonts w:ascii="Arial" w:eastAsia="Times New Roman" w:hAnsi="Arial" w:cs="Arial"/>
                <w:sz w:val="18"/>
                <w:szCs w:val="18"/>
              </w:rPr>
              <w:t>4</w:t>
            </w:r>
          </w:p>
        </w:tc>
      </w:tr>
      <w:tr w:rsidR="008B526B" w:rsidRPr="00C959B2" w14:paraId="0634063C" w14:textId="77777777" w:rsidTr="008B526B">
        <w:trPr>
          <w:trHeight w:val="20"/>
          <w:jc w:val="center"/>
        </w:trPr>
        <w:tc>
          <w:tcPr>
            <w:tcW w:w="4950" w:type="dxa"/>
            <w:tcBorders>
              <w:right w:val="single" w:sz="4" w:space="0" w:color="0C5499"/>
            </w:tcBorders>
            <w:shd w:val="clear" w:color="000000" w:fill="FFFFFF"/>
            <w:vAlign w:val="center"/>
          </w:tcPr>
          <w:p w14:paraId="28795F5D"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Финансијске делатности и делатност осигурања</w:t>
            </w:r>
          </w:p>
        </w:tc>
        <w:tc>
          <w:tcPr>
            <w:tcW w:w="2520" w:type="dxa"/>
            <w:tcBorders>
              <w:left w:val="single" w:sz="4" w:space="0" w:color="0C5499"/>
            </w:tcBorders>
            <w:shd w:val="clear" w:color="000000" w:fill="FFFFFF"/>
            <w:vAlign w:val="bottom"/>
          </w:tcPr>
          <w:p w14:paraId="534C45F4"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7</w:t>
            </w:r>
            <w:r>
              <w:rPr>
                <w:rFonts w:ascii="Arial" w:eastAsia="Times New Roman" w:hAnsi="Arial" w:cs="Arial"/>
                <w:sz w:val="18"/>
                <w:szCs w:val="18"/>
              </w:rPr>
              <w:t>,</w:t>
            </w:r>
            <w:r w:rsidRPr="006E1D5E">
              <w:rPr>
                <w:rFonts w:ascii="Arial" w:eastAsia="Times New Roman" w:hAnsi="Arial" w:cs="Arial"/>
                <w:sz w:val="18"/>
                <w:szCs w:val="18"/>
              </w:rPr>
              <w:t>7</w:t>
            </w:r>
          </w:p>
        </w:tc>
        <w:tc>
          <w:tcPr>
            <w:tcW w:w="2273" w:type="dxa"/>
            <w:shd w:val="clear" w:color="000000" w:fill="FFFFFF"/>
            <w:vAlign w:val="bottom"/>
          </w:tcPr>
          <w:p w14:paraId="3024934F"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7</w:t>
            </w:r>
            <w:r>
              <w:rPr>
                <w:rFonts w:ascii="Arial" w:eastAsia="Times New Roman" w:hAnsi="Arial" w:cs="Arial"/>
                <w:sz w:val="18"/>
                <w:szCs w:val="18"/>
              </w:rPr>
              <w:t>,</w:t>
            </w:r>
            <w:r w:rsidRPr="006E1D5E">
              <w:rPr>
                <w:rFonts w:ascii="Arial" w:eastAsia="Times New Roman" w:hAnsi="Arial" w:cs="Arial"/>
                <w:sz w:val="18"/>
                <w:szCs w:val="18"/>
              </w:rPr>
              <w:t>4</w:t>
            </w:r>
          </w:p>
        </w:tc>
      </w:tr>
      <w:tr w:rsidR="008B526B" w:rsidRPr="00C959B2" w14:paraId="5171B620" w14:textId="77777777" w:rsidTr="008B526B">
        <w:trPr>
          <w:trHeight w:val="20"/>
          <w:jc w:val="center"/>
        </w:trPr>
        <w:tc>
          <w:tcPr>
            <w:tcW w:w="4950" w:type="dxa"/>
            <w:tcBorders>
              <w:right w:val="single" w:sz="4" w:space="0" w:color="0C5499"/>
            </w:tcBorders>
            <w:shd w:val="clear" w:color="000000" w:fill="FFFFFF"/>
            <w:vAlign w:val="center"/>
          </w:tcPr>
          <w:p w14:paraId="14DFD8AF"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Пословање некретнинама</w:t>
            </w:r>
          </w:p>
        </w:tc>
        <w:tc>
          <w:tcPr>
            <w:tcW w:w="2520" w:type="dxa"/>
            <w:tcBorders>
              <w:left w:val="single" w:sz="4" w:space="0" w:color="0C5499"/>
            </w:tcBorders>
            <w:shd w:val="clear" w:color="000000" w:fill="FFFFFF"/>
            <w:vAlign w:val="bottom"/>
          </w:tcPr>
          <w:p w14:paraId="6A885D7B"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-19</w:t>
            </w:r>
            <w:r>
              <w:rPr>
                <w:rFonts w:ascii="Arial" w:eastAsia="Times New Roman" w:hAnsi="Arial" w:cs="Arial"/>
                <w:sz w:val="18"/>
                <w:szCs w:val="18"/>
              </w:rPr>
              <w:t>,</w:t>
            </w:r>
            <w:r w:rsidRPr="006E1D5E">
              <w:rPr>
                <w:rFonts w:ascii="Arial" w:eastAsia="Times New Roman" w:hAnsi="Arial" w:cs="Arial"/>
                <w:sz w:val="18"/>
                <w:szCs w:val="18"/>
              </w:rPr>
              <w:t>1</w:t>
            </w:r>
          </w:p>
        </w:tc>
        <w:tc>
          <w:tcPr>
            <w:tcW w:w="2273" w:type="dxa"/>
            <w:shd w:val="clear" w:color="000000" w:fill="FFFFFF"/>
            <w:vAlign w:val="bottom"/>
          </w:tcPr>
          <w:p w14:paraId="0C772276"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5</w:t>
            </w:r>
            <w:r>
              <w:rPr>
                <w:rFonts w:ascii="Arial" w:eastAsia="Times New Roman" w:hAnsi="Arial" w:cs="Arial"/>
                <w:sz w:val="18"/>
                <w:szCs w:val="18"/>
              </w:rPr>
              <w:t>,</w:t>
            </w:r>
            <w:r w:rsidRPr="006E1D5E">
              <w:rPr>
                <w:rFonts w:ascii="Arial" w:eastAsia="Times New Roman" w:hAnsi="Arial" w:cs="Arial"/>
                <w:sz w:val="18"/>
                <w:szCs w:val="18"/>
              </w:rPr>
              <w:t>1</w:t>
            </w:r>
          </w:p>
        </w:tc>
      </w:tr>
      <w:tr w:rsidR="008B526B" w:rsidRPr="00C959B2" w14:paraId="31D0A6EB" w14:textId="77777777" w:rsidTr="008B526B">
        <w:trPr>
          <w:trHeight w:val="20"/>
          <w:jc w:val="center"/>
        </w:trPr>
        <w:tc>
          <w:tcPr>
            <w:tcW w:w="4950" w:type="dxa"/>
            <w:tcBorders>
              <w:right w:val="single" w:sz="4" w:space="0" w:color="0C5499"/>
            </w:tcBorders>
            <w:shd w:val="clear" w:color="000000" w:fill="FFFFFF"/>
            <w:vAlign w:val="center"/>
          </w:tcPr>
          <w:p w14:paraId="1264B861"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Стручне, научне, информационе и техничке делатности</w:t>
            </w:r>
          </w:p>
        </w:tc>
        <w:tc>
          <w:tcPr>
            <w:tcW w:w="2520" w:type="dxa"/>
            <w:tcBorders>
              <w:left w:val="single" w:sz="4" w:space="0" w:color="0C5499"/>
            </w:tcBorders>
            <w:shd w:val="clear" w:color="000000" w:fill="FFFFFF"/>
            <w:vAlign w:val="bottom"/>
          </w:tcPr>
          <w:p w14:paraId="3D02110B"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7</w:t>
            </w:r>
            <w:r>
              <w:rPr>
                <w:rFonts w:ascii="Arial" w:eastAsia="Times New Roman" w:hAnsi="Arial" w:cs="Arial"/>
                <w:sz w:val="18"/>
                <w:szCs w:val="18"/>
              </w:rPr>
              <w:t>,</w:t>
            </w:r>
            <w:r w:rsidRPr="006E1D5E">
              <w:rPr>
                <w:rFonts w:ascii="Arial" w:eastAsia="Times New Roman" w:hAnsi="Arial" w:cs="Arial"/>
                <w:sz w:val="18"/>
                <w:szCs w:val="18"/>
              </w:rPr>
              <w:t>4</w:t>
            </w:r>
          </w:p>
        </w:tc>
        <w:tc>
          <w:tcPr>
            <w:tcW w:w="2273" w:type="dxa"/>
            <w:shd w:val="clear" w:color="000000" w:fill="FFFFFF"/>
            <w:vAlign w:val="bottom"/>
          </w:tcPr>
          <w:p w14:paraId="1354A87E"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9</w:t>
            </w:r>
            <w:r>
              <w:rPr>
                <w:rFonts w:ascii="Arial" w:eastAsia="Times New Roman" w:hAnsi="Arial" w:cs="Arial"/>
                <w:sz w:val="18"/>
                <w:szCs w:val="18"/>
              </w:rPr>
              <w:t>,</w:t>
            </w:r>
            <w:r w:rsidRPr="006E1D5E">
              <w:rPr>
                <w:rFonts w:ascii="Arial" w:eastAsia="Times New Roman" w:hAnsi="Arial" w:cs="Arial"/>
                <w:sz w:val="18"/>
                <w:szCs w:val="18"/>
              </w:rPr>
              <w:t>9</w:t>
            </w:r>
          </w:p>
        </w:tc>
      </w:tr>
      <w:tr w:rsidR="008B526B" w:rsidRPr="00C959B2" w14:paraId="59F5F68C" w14:textId="77777777" w:rsidTr="008B526B">
        <w:trPr>
          <w:trHeight w:val="20"/>
          <w:jc w:val="center"/>
        </w:trPr>
        <w:tc>
          <w:tcPr>
            <w:tcW w:w="4950" w:type="dxa"/>
            <w:tcBorders>
              <w:right w:val="single" w:sz="4" w:space="0" w:color="0C5499"/>
            </w:tcBorders>
            <w:shd w:val="clear" w:color="000000" w:fill="FFFFFF"/>
            <w:vAlign w:val="center"/>
          </w:tcPr>
          <w:p w14:paraId="2CA0413E"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Административне и помоћне услужне делатности</w:t>
            </w:r>
          </w:p>
        </w:tc>
        <w:tc>
          <w:tcPr>
            <w:tcW w:w="2520" w:type="dxa"/>
            <w:tcBorders>
              <w:left w:val="single" w:sz="4" w:space="0" w:color="0C5499"/>
            </w:tcBorders>
            <w:shd w:val="clear" w:color="000000" w:fill="FFFFFF"/>
            <w:vAlign w:val="bottom"/>
          </w:tcPr>
          <w:p w14:paraId="1AF3A006"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29</w:t>
            </w:r>
            <w:r>
              <w:rPr>
                <w:rFonts w:ascii="Arial" w:eastAsia="Times New Roman" w:hAnsi="Arial" w:cs="Arial"/>
                <w:sz w:val="18"/>
                <w:szCs w:val="18"/>
              </w:rPr>
              <w:t>,</w:t>
            </w:r>
            <w:r w:rsidRPr="006E1D5E">
              <w:rPr>
                <w:rFonts w:ascii="Arial" w:eastAsia="Times New Roman" w:hAnsi="Arial" w:cs="Arial"/>
                <w:sz w:val="18"/>
                <w:szCs w:val="18"/>
              </w:rPr>
              <w:t>1</w:t>
            </w:r>
          </w:p>
        </w:tc>
        <w:tc>
          <w:tcPr>
            <w:tcW w:w="2273" w:type="dxa"/>
            <w:shd w:val="clear" w:color="000000" w:fill="FFFFFF"/>
            <w:vAlign w:val="bottom"/>
          </w:tcPr>
          <w:p w14:paraId="0F4EB803"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1</w:t>
            </w:r>
            <w:r>
              <w:rPr>
                <w:rFonts w:ascii="Arial" w:eastAsia="Times New Roman" w:hAnsi="Arial" w:cs="Arial"/>
                <w:sz w:val="18"/>
                <w:szCs w:val="18"/>
              </w:rPr>
              <w:t>,</w:t>
            </w:r>
            <w:r w:rsidRPr="006E1D5E">
              <w:rPr>
                <w:rFonts w:ascii="Arial" w:eastAsia="Times New Roman" w:hAnsi="Arial" w:cs="Arial"/>
                <w:sz w:val="18"/>
                <w:szCs w:val="18"/>
              </w:rPr>
              <w:t>3</w:t>
            </w:r>
          </w:p>
        </w:tc>
      </w:tr>
      <w:tr w:rsidR="008B526B" w:rsidRPr="00C959B2" w14:paraId="78FB7597" w14:textId="77777777" w:rsidTr="008B526B">
        <w:trPr>
          <w:trHeight w:val="20"/>
          <w:jc w:val="center"/>
        </w:trPr>
        <w:tc>
          <w:tcPr>
            <w:tcW w:w="4950" w:type="dxa"/>
            <w:tcBorders>
              <w:right w:val="single" w:sz="4" w:space="0" w:color="0C5499"/>
            </w:tcBorders>
            <w:shd w:val="clear" w:color="000000" w:fill="FFFFFF"/>
            <w:vAlign w:val="center"/>
          </w:tcPr>
          <w:p w14:paraId="4C00402F"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Државна управа и обавезно социјално осигурање</w:t>
            </w:r>
          </w:p>
        </w:tc>
        <w:tc>
          <w:tcPr>
            <w:tcW w:w="2520" w:type="dxa"/>
            <w:tcBorders>
              <w:left w:val="single" w:sz="4" w:space="0" w:color="0C5499"/>
            </w:tcBorders>
            <w:shd w:val="clear" w:color="000000" w:fill="FFFFFF"/>
            <w:vAlign w:val="bottom"/>
          </w:tcPr>
          <w:p w14:paraId="40AB376C"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1</w:t>
            </w:r>
            <w:r>
              <w:rPr>
                <w:rFonts w:ascii="Arial" w:eastAsia="Times New Roman" w:hAnsi="Arial" w:cs="Arial"/>
                <w:sz w:val="18"/>
                <w:szCs w:val="18"/>
              </w:rPr>
              <w:t>,</w:t>
            </w:r>
            <w:r w:rsidRPr="006E1D5E">
              <w:rPr>
                <w:rFonts w:ascii="Arial" w:eastAsia="Times New Roman" w:hAnsi="Arial" w:cs="Arial"/>
                <w:sz w:val="18"/>
                <w:szCs w:val="18"/>
              </w:rPr>
              <w:t>5</w:t>
            </w:r>
          </w:p>
        </w:tc>
        <w:tc>
          <w:tcPr>
            <w:tcW w:w="2273" w:type="dxa"/>
            <w:shd w:val="clear" w:color="000000" w:fill="FFFFFF"/>
            <w:vAlign w:val="bottom"/>
          </w:tcPr>
          <w:p w14:paraId="0379F6BD"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-5</w:t>
            </w:r>
            <w:r>
              <w:rPr>
                <w:rFonts w:ascii="Arial" w:eastAsia="Times New Roman" w:hAnsi="Arial" w:cs="Arial"/>
                <w:sz w:val="18"/>
                <w:szCs w:val="18"/>
              </w:rPr>
              <w:t>,</w:t>
            </w:r>
            <w:r w:rsidRPr="006E1D5E">
              <w:rPr>
                <w:rFonts w:ascii="Arial" w:eastAsia="Times New Roman" w:hAnsi="Arial" w:cs="Arial"/>
                <w:sz w:val="18"/>
                <w:szCs w:val="18"/>
              </w:rPr>
              <w:t>9</w:t>
            </w:r>
          </w:p>
        </w:tc>
      </w:tr>
      <w:tr w:rsidR="008B526B" w:rsidRPr="00C959B2" w14:paraId="5F659323" w14:textId="77777777" w:rsidTr="008B526B">
        <w:trPr>
          <w:trHeight w:val="20"/>
          <w:jc w:val="center"/>
        </w:trPr>
        <w:tc>
          <w:tcPr>
            <w:tcW w:w="4950" w:type="dxa"/>
            <w:tcBorders>
              <w:right w:val="single" w:sz="4" w:space="0" w:color="0C5499"/>
            </w:tcBorders>
            <w:shd w:val="clear" w:color="000000" w:fill="FFFFFF"/>
            <w:vAlign w:val="center"/>
          </w:tcPr>
          <w:p w14:paraId="61DB2641"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Образовање</w:t>
            </w:r>
          </w:p>
        </w:tc>
        <w:tc>
          <w:tcPr>
            <w:tcW w:w="2520" w:type="dxa"/>
            <w:tcBorders>
              <w:left w:val="single" w:sz="4" w:space="0" w:color="0C5499"/>
            </w:tcBorders>
            <w:shd w:val="clear" w:color="000000" w:fill="FFFFFF"/>
            <w:vAlign w:val="bottom"/>
          </w:tcPr>
          <w:p w14:paraId="2F5763F5"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-3</w:t>
            </w:r>
            <w:r>
              <w:rPr>
                <w:rFonts w:ascii="Arial" w:eastAsia="Times New Roman" w:hAnsi="Arial" w:cs="Arial"/>
                <w:sz w:val="18"/>
                <w:szCs w:val="18"/>
              </w:rPr>
              <w:t>,</w:t>
            </w:r>
            <w:r w:rsidRPr="006E1D5E">
              <w:rPr>
                <w:rFonts w:ascii="Arial" w:eastAsia="Times New Roman" w:hAnsi="Arial" w:cs="Arial"/>
                <w:sz w:val="18"/>
                <w:szCs w:val="18"/>
              </w:rPr>
              <w:t>0</w:t>
            </w:r>
          </w:p>
        </w:tc>
        <w:tc>
          <w:tcPr>
            <w:tcW w:w="2273" w:type="dxa"/>
            <w:shd w:val="clear" w:color="000000" w:fill="FFFFFF"/>
            <w:vAlign w:val="bottom"/>
          </w:tcPr>
          <w:p w14:paraId="46A26766"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0</w:t>
            </w:r>
            <w:r>
              <w:rPr>
                <w:rFonts w:ascii="Arial" w:eastAsia="Times New Roman" w:hAnsi="Arial" w:cs="Arial"/>
                <w:sz w:val="18"/>
                <w:szCs w:val="18"/>
              </w:rPr>
              <w:t>,</w:t>
            </w:r>
            <w:r w:rsidRPr="006E1D5E">
              <w:rPr>
                <w:rFonts w:ascii="Arial" w:eastAsia="Times New Roman" w:hAnsi="Arial" w:cs="Arial"/>
                <w:sz w:val="18"/>
                <w:szCs w:val="18"/>
              </w:rPr>
              <w:t>2</w:t>
            </w:r>
          </w:p>
        </w:tc>
      </w:tr>
      <w:tr w:rsidR="008B526B" w:rsidRPr="00C959B2" w14:paraId="556F2D7C" w14:textId="77777777" w:rsidTr="008B526B">
        <w:trPr>
          <w:trHeight w:val="20"/>
          <w:jc w:val="center"/>
        </w:trPr>
        <w:tc>
          <w:tcPr>
            <w:tcW w:w="4950" w:type="dxa"/>
            <w:tcBorders>
              <w:right w:val="single" w:sz="4" w:space="0" w:color="0C5499"/>
            </w:tcBorders>
            <w:shd w:val="clear" w:color="000000" w:fill="FFFFFF"/>
            <w:vAlign w:val="center"/>
          </w:tcPr>
          <w:p w14:paraId="56CA92CF"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Здравствена и социјална заштита</w:t>
            </w:r>
          </w:p>
        </w:tc>
        <w:tc>
          <w:tcPr>
            <w:tcW w:w="2520" w:type="dxa"/>
            <w:tcBorders>
              <w:left w:val="single" w:sz="4" w:space="0" w:color="0C5499"/>
            </w:tcBorders>
            <w:shd w:val="clear" w:color="000000" w:fill="FFFFFF"/>
            <w:vAlign w:val="bottom"/>
          </w:tcPr>
          <w:p w14:paraId="346EFB06"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4</w:t>
            </w:r>
            <w:r>
              <w:rPr>
                <w:rFonts w:ascii="Arial" w:eastAsia="Times New Roman" w:hAnsi="Arial" w:cs="Arial"/>
                <w:sz w:val="18"/>
                <w:szCs w:val="18"/>
              </w:rPr>
              <w:t>,</w:t>
            </w:r>
            <w:r w:rsidRPr="006E1D5E">
              <w:rPr>
                <w:rFonts w:ascii="Arial" w:eastAsia="Times New Roman" w:hAnsi="Arial" w:cs="Arial"/>
                <w:sz w:val="18"/>
                <w:szCs w:val="18"/>
              </w:rPr>
              <w:t>9</w:t>
            </w:r>
          </w:p>
        </w:tc>
        <w:tc>
          <w:tcPr>
            <w:tcW w:w="2273" w:type="dxa"/>
            <w:shd w:val="clear" w:color="000000" w:fill="FFFFFF"/>
            <w:vAlign w:val="bottom"/>
          </w:tcPr>
          <w:p w14:paraId="20A0D745"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0</w:t>
            </w:r>
            <w:r>
              <w:rPr>
                <w:rFonts w:ascii="Arial" w:eastAsia="Times New Roman" w:hAnsi="Arial" w:cs="Arial"/>
                <w:sz w:val="18"/>
                <w:szCs w:val="18"/>
              </w:rPr>
              <w:t>,</w:t>
            </w:r>
            <w:r w:rsidRPr="006E1D5E">
              <w:rPr>
                <w:rFonts w:ascii="Arial" w:eastAsia="Times New Roman" w:hAnsi="Arial" w:cs="Arial"/>
                <w:sz w:val="18"/>
                <w:szCs w:val="18"/>
              </w:rPr>
              <w:t>2</w:t>
            </w:r>
          </w:p>
        </w:tc>
      </w:tr>
      <w:tr w:rsidR="008B526B" w:rsidRPr="00C959B2" w14:paraId="55A60F4A" w14:textId="77777777" w:rsidTr="008B526B">
        <w:trPr>
          <w:trHeight w:val="20"/>
          <w:jc w:val="center"/>
        </w:trPr>
        <w:tc>
          <w:tcPr>
            <w:tcW w:w="4950" w:type="dxa"/>
            <w:tcBorders>
              <w:right w:val="single" w:sz="4" w:space="0" w:color="0C5499"/>
            </w:tcBorders>
            <w:shd w:val="clear" w:color="000000" w:fill="FFFFFF"/>
            <w:vAlign w:val="center"/>
          </w:tcPr>
          <w:p w14:paraId="2530C976"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Уметност; забава и рекреација</w:t>
            </w:r>
          </w:p>
        </w:tc>
        <w:tc>
          <w:tcPr>
            <w:tcW w:w="2520" w:type="dxa"/>
            <w:tcBorders>
              <w:left w:val="single" w:sz="4" w:space="0" w:color="0C5499"/>
            </w:tcBorders>
            <w:shd w:val="clear" w:color="000000" w:fill="FFFFFF"/>
            <w:vAlign w:val="bottom"/>
          </w:tcPr>
          <w:p w14:paraId="5BAD7E6B"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3</w:t>
            </w:r>
            <w:r>
              <w:rPr>
                <w:rFonts w:ascii="Arial" w:eastAsia="Times New Roman" w:hAnsi="Arial" w:cs="Arial"/>
                <w:sz w:val="18"/>
                <w:szCs w:val="18"/>
              </w:rPr>
              <w:t>,</w:t>
            </w:r>
            <w:r w:rsidRPr="006E1D5E">
              <w:rPr>
                <w:rFonts w:ascii="Arial" w:eastAsia="Times New Roman" w:hAnsi="Arial" w:cs="Arial"/>
                <w:sz w:val="18"/>
                <w:szCs w:val="18"/>
              </w:rPr>
              <w:t>8</w:t>
            </w:r>
          </w:p>
        </w:tc>
        <w:tc>
          <w:tcPr>
            <w:tcW w:w="2273" w:type="dxa"/>
            <w:shd w:val="clear" w:color="000000" w:fill="FFFFFF"/>
            <w:vAlign w:val="bottom"/>
          </w:tcPr>
          <w:p w14:paraId="29D7C4CF"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-6</w:t>
            </w:r>
            <w:r>
              <w:rPr>
                <w:rFonts w:ascii="Arial" w:eastAsia="Times New Roman" w:hAnsi="Arial" w:cs="Arial"/>
                <w:sz w:val="18"/>
                <w:szCs w:val="18"/>
              </w:rPr>
              <w:t>,</w:t>
            </w:r>
            <w:r w:rsidRPr="006E1D5E">
              <w:rPr>
                <w:rFonts w:ascii="Arial" w:eastAsia="Times New Roman" w:hAnsi="Arial" w:cs="Arial"/>
                <w:sz w:val="18"/>
                <w:szCs w:val="18"/>
              </w:rPr>
              <w:t>7</w:t>
            </w:r>
          </w:p>
        </w:tc>
      </w:tr>
      <w:tr w:rsidR="008B526B" w:rsidRPr="00C959B2" w14:paraId="6968CF69" w14:textId="77777777" w:rsidTr="008B526B">
        <w:trPr>
          <w:trHeight w:val="20"/>
          <w:jc w:val="center"/>
        </w:trPr>
        <w:tc>
          <w:tcPr>
            <w:tcW w:w="4950" w:type="dxa"/>
            <w:tcBorders>
              <w:right w:val="single" w:sz="4" w:space="0" w:color="0C5499"/>
            </w:tcBorders>
            <w:shd w:val="clear" w:color="000000" w:fill="FFFFFF"/>
            <w:vAlign w:val="center"/>
          </w:tcPr>
          <w:p w14:paraId="5EA57EC5" w14:textId="77777777" w:rsidR="008B526B" w:rsidRPr="00224758" w:rsidRDefault="008B526B" w:rsidP="00391018">
            <w:pPr>
              <w:spacing w:after="0" w:line="228" w:lineRule="auto"/>
              <w:rPr>
                <w:rFonts w:ascii="Arial" w:eastAsia="Times New Roman" w:hAnsi="Arial" w:cs="Arial"/>
                <w:sz w:val="18"/>
                <w:szCs w:val="18"/>
              </w:rPr>
            </w:pPr>
            <w:r w:rsidRPr="00224758">
              <w:rPr>
                <w:rFonts w:ascii="Arial" w:eastAsia="Times New Roman" w:hAnsi="Arial" w:cs="Arial"/>
                <w:sz w:val="18"/>
                <w:szCs w:val="18"/>
              </w:rPr>
              <w:t>Остале услужне делатности</w:t>
            </w:r>
          </w:p>
        </w:tc>
        <w:tc>
          <w:tcPr>
            <w:tcW w:w="2520" w:type="dxa"/>
            <w:tcBorders>
              <w:left w:val="single" w:sz="4" w:space="0" w:color="0C5499"/>
            </w:tcBorders>
            <w:shd w:val="clear" w:color="000000" w:fill="FFFFFF"/>
            <w:vAlign w:val="bottom"/>
          </w:tcPr>
          <w:p w14:paraId="0DFD3332"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-8</w:t>
            </w:r>
            <w:r>
              <w:rPr>
                <w:rFonts w:ascii="Arial" w:eastAsia="Times New Roman" w:hAnsi="Arial" w:cs="Arial"/>
                <w:sz w:val="18"/>
                <w:szCs w:val="18"/>
              </w:rPr>
              <w:t>,</w:t>
            </w:r>
            <w:r w:rsidRPr="006E1D5E">
              <w:rPr>
                <w:rFonts w:ascii="Arial" w:eastAsia="Times New Roman" w:hAnsi="Arial" w:cs="Arial"/>
                <w:sz w:val="18"/>
                <w:szCs w:val="18"/>
              </w:rPr>
              <w:t>6</w:t>
            </w:r>
          </w:p>
        </w:tc>
        <w:tc>
          <w:tcPr>
            <w:tcW w:w="2273" w:type="dxa"/>
            <w:shd w:val="clear" w:color="000000" w:fill="FFFFFF"/>
            <w:vAlign w:val="bottom"/>
          </w:tcPr>
          <w:p w14:paraId="45A1C0A8" w14:textId="77777777" w:rsidR="008B526B" w:rsidRPr="006E1D5E" w:rsidRDefault="008B526B" w:rsidP="00391018">
            <w:pPr>
              <w:spacing w:after="0" w:line="240" w:lineRule="auto"/>
              <w:jc w:val="right"/>
              <w:rPr>
                <w:rFonts w:ascii="Arial" w:eastAsia="Times New Roman" w:hAnsi="Arial" w:cs="Arial"/>
                <w:sz w:val="18"/>
                <w:szCs w:val="18"/>
              </w:rPr>
            </w:pPr>
            <w:r w:rsidRPr="006E1D5E">
              <w:rPr>
                <w:rFonts w:ascii="Arial" w:eastAsia="Times New Roman" w:hAnsi="Arial" w:cs="Arial"/>
                <w:sz w:val="18"/>
                <w:szCs w:val="18"/>
              </w:rPr>
              <w:t>46</w:t>
            </w:r>
            <w:r>
              <w:rPr>
                <w:rFonts w:ascii="Arial" w:eastAsia="Times New Roman" w:hAnsi="Arial" w:cs="Arial"/>
                <w:sz w:val="18"/>
                <w:szCs w:val="18"/>
              </w:rPr>
              <w:t>,</w:t>
            </w:r>
            <w:r w:rsidRPr="006E1D5E">
              <w:rPr>
                <w:rFonts w:ascii="Arial" w:eastAsia="Times New Roman" w:hAnsi="Arial" w:cs="Arial"/>
                <w:sz w:val="18"/>
                <w:szCs w:val="18"/>
              </w:rPr>
              <w:t>7</w:t>
            </w:r>
          </w:p>
        </w:tc>
      </w:tr>
    </w:tbl>
    <w:p w14:paraId="710885E8" w14:textId="135192EA" w:rsidR="00781385" w:rsidRPr="002962E3" w:rsidRDefault="00781385" w:rsidP="002962E3">
      <w:pPr>
        <w:pStyle w:val="Pasus"/>
        <w:ind w:left="0" w:firstLine="720"/>
        <w:rPr>
          <w:color w:val="222222"/>
          <w:shd w:val="clear" w:color="auto" w:fill="FFFFFF"/>
          <w:lang w:val="sr-Cyrl-RS"/>
        </w:rPr>
      </w:pPr>
      <w:r w:rsidRPr="003C0133">
        <w:rPr>
          <w:color w:val="222222"/>
          <w:shd w:val="clear" w:color="auto" w:fill="FFFFFF"/>
          <w:lang w:val="sr-Cyrl-RS"/>
        </w:rPr>
        <w:lastRenderedPageBreak/>
        <w:t>На укупном нивоу</w:t>
      </w:r>
      <w:r w:rsidR="00DF2A29">
        <w:rPr>
          <w:color w:val="222222"/>
          <w:shd w:val="clear" w:color="auto" w:fill="FFFFFF"/>
          <w:lang w:val="sr-Latn-RS"/>
        </w:rPr>
        <w:t>,</w:t>
      </w:r>
      <w:r w:rsidRPr="003C0133">
        <w:rPr>
          <w:color w:val="222222"/>
          <w:shd w:val="clear" w:color="auto" w:fill="FFFFFF"/>
          <w:lang w:val="sr-Cyrl-RS"/>
        </w:rPr>
        <w:t xml:space="preserve"> разлика између просечних годишњих стопа раста укупних трошкова рада по извршеном часу рада између ова два истраживања је веома мала и износи 1,2 процентна поена (п.п). Међутим, овај просек сакрива сасвим релевантне разлике између појединачних сектора делатности. У различитим секторима делатности различита ко</w:t>
      </w:r>
      <w:r w:rsidR="00893C49" w:rsidRPr="003C0133">
        <w:rPr>
          <w:color w:val="222222"/>
          <w:shd w:val="clear" w:color="auto" w:fill="FFFFFF"/>
          <w:lang w:val="sr-Cyrl-RS"/>
        </w:rPr>
        <w:t>м</w:t>
      </w:r>
      <w:r w:rsidRPr="003C0133">
        <w:rPr>
          <w:color w:val="222222"/>
          <w:shd w:val="clear" w:color="auto" w:fill="FFFFFF"/>
          <w:lang w:val="sr-Cyrl-RS"/>
        </w:rPr>
        <w:t xml:space="preserve">бинација горе </w:t>
      </w:r>
      <w:r w:rsidR="00097A41" w:rsidRPr="003C0133">
        <w:rPr>
          <w:color w:val="222222"/>
          <w:shd w:val="clear" w:color="auto" w:fill="FFFFFF"/>
          <w:lang w:val="sr-Cyrl-RS"/>
        </w:rPr>
        <w:t>наведених фактора има доминантан</w:t>
      </w:r>
      <w:r w:rsidRPr="003C0133">
        <w:rPr>
          <w:color w:val="222222"/>
          <w:shd w:val="clear" w:color="auto" w:fill="FFFFFF"/>
          <w:lang w:val="sr-Cyrl-RS"/>
        </w:rPr>
        <w:t xml:space="preserve"> </w:t>
      </w:r>
      <w:r w:rsidR="00F33F59" w:rsidRPr="003C0133">
        <w:rPr>
          <w:color w:val="222222"/>
          <w:shd w:val="clear" w:color="auto" w:fill="FFFFFF"/>
          <w:lang w:val="sr-Cyrl-RS"/>
        </w:rPr>
        <w:t>утицај на разлике у кретању трошкова рада</w:t>
      </w:r>
      <w:r w:rsidR="00097A41" w:rsidRPr="003C0133">
        <w:rPr>
          <w:color w:val="222222"/>
          <w:shd w:val="clear" w:color="auto" w:fill="FFFFFF"/>
          <w:lang w:val="sr-Cyrl-RS"/>
        </w:rPr>
        <w:t xml:space="preserve">. Методологија узорка релевантан је фактор разлика у сектору делатности Остале услужне делатности, у коме је и разлика у кретању трошкова рада највећа. Наиме, </w:t>
      </w:r>
      <w:r w:rsidR="0015430E">
        <w:rPr>
          <w:color w:val="222222"/>
          <w:shd w:val="clear" w:color="auto" w:fill="FFFFFF"/>
          <w:lang w:val="sr-Cyrl-RS"/>
        </w:rPr>
        <w:t>према подацима ИТР за 2016,</w:t>
      </w:r>
      <w:r w:rsidR="00737D79" w:rsidRPr="003C0133">
        <w:rPr>
          <w:color w:val="222222"/>
          <w:shd w:val="clear" w:color="auto" w:fill="FFFFFF"/>
          <w:lang w:val="sr-Cyrl-RS"/>
        </w:rPr>
        <w:t xml:space="preserve"> више од 50% запослених у овом сектору делатности ради у</w:t>
      </w:r>
      <w:r w:rsidR="002962E3" w:rsidRPr="003C0133">
        <w:rPr>
          <w:color w:val="222222"/>
          <w:shd w:val="clear" w:color="auto" w:fill="FFFFFF"/>
          <w:lang w:val="sr-Cyrl-RS"/>
        </w:rPr>
        <w:t xml:space="preserve"> тзв.</w:t>
      </w:r>
      <w:r w:rsidR="00737D79" w:rsidRPr="003C0133">
        <w:rPr>
          <w:color w:val="222222"/>
          <w:shd w:val="clear" w:color="auto" w:fill="FFFFFF"/>
          <w:lang w:val="sr-Cyrl-RS"/>
        </w:rPr>
        <w:t xml:space="preserve"> малим </w:t>
      </w:r>
      <w:r w:rsidR="002962E3" w:rsidRPr="003C0133">
        <w:rPr>
          <w:color w:val="222222"/>
          <w:shd w:val="clear" w:color="auto" w:fill="FFFFFF"/>
          <w:lang w:val="sr-Cyrl-RS"/>
        </w:rPr>
        <w:t xml:space="preserve">предузећима </w:t>
      </w:r>
      <w:r w:rsidR="0015430E">
        <w:rPr>
          <w:color w:val="222222"/>
          <w:shd w:val="clear" w:color="auto" w:fill="FFFFFF"/>
          <w:lang w:val="sr-Cyrl-RS"/>
        </w:rPr>
        <w:t>(од 10 до</w:t>
      </w:r>
      <w:r w:rsidR="00737D79" w:rsidRPr="003C0133">
        <w:rPr>
          <w:color w:val="222222"/>
          <w:shd w:val="clear" w:color="auto" w:fill="FFFFFF"/>
          <w:lang w:val="sr-Cyrl-RS"/>
        </w:rPr>
        <w:t xml:space="preserve"> 49 запослених), чија</w:t>
      </w:r>
      <w:r w:rsidR="00893C49" w:rsidRPr="003C0133">
        <w:rPr>
          <w:color w:val="222222"/>
          <w:shd w:val="clear" w:color="auto" w:fill="FFFFFF"/>
          <w:lang w:val="sr-Cyrl-RS"/>
        </w:rPr>
        <w:t xml:space="preserve"> је</w:t>
      </w:r>
      <w:r w:rsidR="00737D79" w:rsidRPr="003C0133">
        <w:rPr>
          <w:color w:val="222222"/>
          <w:shd w:val="clear" w:color="auto" w:fill="FFFFFF"/>
          <w:lang w:val="sr-Cyrl-RS"/>
        </w:rPr>
        <w:t xml:space="preserve"> заступљеност у узорку на основу којег се израчунава индекс трошкова рада </w:t>
      </w:r>
      <w:r w:rsidR="002962E3" w:rsidRPr="003C0133">
        <w:rPr>
          <w:color w:val="222222"/>
          <w:shd w:val="clear" w:color="auto" w:fill="FFFFFF"/>
          <w:lang w:val="sr-Cyrl-RS"/>
        </w:rPr>
        <w:t xml:space="preserve">веома мала. С друге стране, као пример утицаја методологије узорка може се навести </w:t>
      </w:r>
      <w:r w:rsidR="00A203B6" w:rsidRPr="003C0133">
        <w:rPr>
          <w:color w:val="222222"/>
          <w:shd w:val="clear" w:color="auto" w:fill="FFFFFF"/>
          <w:lang w:val="sr-Cyrl-RS"/>
        </w:rPr>
        <w:t xml:space="preserve">и </w:t>
      </w:r>
      <w:r w:rsidR="00DF2A29">
        <w:rPr>
          <w:color w:val="222222"/>
          <w:shd w:val="clear" w:color="auto" w:fill="FFFFFF"/>
          <w:lang w:val="sr-Cyrl-RS"/>
        </w:rPr>
        <w:t xml:space="preserve">сектор делатности </w:t>
      </w:r>
      <w:r w:rsidR="00097A41" w:rsidRPr="003C0133">
        <w:rPr>
          <w:lang w:val="sr-Cyrl-RS"/>
        </w:rPr>
        <w:t>Финансијске делатности и делатност осигурања</w:t>
      </w:r>
      <w:r w:rsidR="00F43C33">
        <w:rPr>
          <w:lang w:val="sr-Cyrl-RS"/>
        </w:rPr>
        <w:t>,</w:t>
      </w:r>
      <w:r w:rsidR="00097A41" w:rsidRPr="003C0133">
        <w:rPr>
          <w:lang w:val="sr-Cyrl-RS"/>
        </w:rPr>
        <w:t xml:space="preserve"> где је раз</w:t>
      </w:r>
      <w:r w:rsidR="002962E3" w:rsidRPr="003C0133">
        <w:rPr>
          <w:lang w:val="sr-Cyrl-RS"/>
        </w:rPr>
        <w:t xml:space="preserve">лика </w:t>
      </w:r>
      <w:r w:rsidR="00A203B6" w:rsidRPr="003C0133">
        <w:rPr>
          <w:lang w:val="sr-Cyrl-RS"/>
        </w:rPr>
        <w:t xml:space="preserve">у кретању просечних трошкова рада </w:t>
      </w:r>
      <w:r w:rsidR="002962E3" w:rsidRPr="003C0133">
        <w:rPr>
          <w:lang w:val="sr-Cyrl-RS"/>
        </w:rPr>
        <w:t>најмања</w:t>
      </w:r>
      <w:r w:rsidR="00A203B6" w:rsidRPr="003C0133">
        <w:rPr>
          <w:lang w:val="sr-Cyrl-RS"/>
        </w:rPr>
        <w:t xml:space="preserve">. У том сектору делатности, </w:t>
      </w:r>
      <w:r w:rsidR="002962E3" w:rsidRPr="003C0133">
        <w:rPr>
          <w:lang w:val="sr-Cyrl-RS"/>
        </w:rPr>
        <w:t xml:space="preserve"> према подацима</w:t>
      </w:r>
      <w:r w:rsidR="00A203B6" w:rsidRPr="003C0133">
        <w:rPr>
          <w:lang w:val="sr-Cyrl-RS"/>
        </w:rPr>
        <w:t xml:space="preserve"> ИТР,</w:t>
      </w:r>
      <w:r w:rsidR="002962E3" w:rsidRPr="003C0133">
        <w:rPr>
          <w:lang w:val="sr-Cyrl-RS"/>
        </w:rPr>
        <w:t xml:space="preserve"> у малим предузећима </w:t>
      </w:r>
      <w:r w:rsidR="00F43C33">
        <w:rPr>
          <w:color w:val="222222"/>
          <w:shd w:val="clear" w:color="auto" w:fill="FFFFFF"/>
          <w:lang w:val="sr-Cyrl-RS"/>
        </w:rPr>
        <w:t>(од 10 до</w:t>
      </w:r>
      <w:r w:rsidR="002962E3" w:rsidRPr="003C0133">
        <w:rPr>
          <w:color w:val="222222"/>
          <w:shd w:val="clear" w:color="auto" w:fill="FFFFFF"/>
          <w:lang w:val="sr-Cyrl-RS"/>
        </w:rPr>
        <w:t xml:space="preserve"> 49 запослених) радило </w:t>
      </w:r>
      <w:r w:rsidR="00893C49" w:rsidRPr="003C0133">
        <w:rPr>
          <w:color w:val="222222"/>
          <w:shd w:val="clear" w:color="auto" w:fill="FFFFFF"/>
          <w:lang w:val="sr-Cyrl-RS"/>
        </w:rPr>
        <w:t xml:space="preserve">је </w:t>
      </w:r>
      <w:r w:rsidR="002962E3" w:rsidRPr="003C0133">
        <w:rPr>
          <w:color w:val="222222"/>
          <w:shd w:val="clear" w:color="auto" w:fill="FFFFFF"/>
          <w:lang w:val="sr-Cyrl-RS"/>
        </w:rPr>
        <w:t>око 5%</w:t>
      </w:r>
      <w:r w:rsidR="00893C49" w:rsidRPr="003C0133">
        <w:rPr>
          <w:color w:val="222222"/>
          <w:shd w:val="clear" w:color="auto" w:fill="FFFFFF"/>
          <w:lang w:val="sr-Cyrl-RS"/>
        </w:rPr>
        <w:t xml:space="preserve"> од укупног броја</w:t>
      </w:r>
      <w:r w:rsidR="002962E3" w:rsidRPr="003C0133">
        <w:rPr>
          <w:color w:val="222222"/>
          <w:shd w:val="clear" w:color="auto" w:fill="FFFFFF"/>
          <w:lang w:val="sr-Cyrl-RS"/>
        </w:rPr>
        <w:t xml:space="preserve"> запослен</w:t>
      </w:r>
      <w:r w:rsidR="00CB4447" w:rsidRPr="003C0133">
        <w:rPr>
          <w:color w:val="222222"/>
          <w:shd w:val="clear" w:color="auto" w:fill="FFFFFF"/>
          <w:lang w:val="sr-Cyrl-RS"/>
        </w:rPr>
        <w:t>их у сектору, док је више од 60</w:t>
      </w:r>
      <w:r w:rsidR="002962E3" w:rsidRPr="003C0133">
        <w:rPr>
          <w:color w:val="222222"/>
          <w:shd w:val="clear" w:color="auto" w:fill="FFFFFF"/>
          <w:lang w:val="sr-Cyrl-RS"/>
        </w:rPr>
        <w:t>% запослених сконцентрисано у великим пословним субјектима (</w:t>
      </w:r>
      <w:r w:rsidR="00A203B6" w:rsidRPr="003C0133">
        <w:rPr>
          <w:color w:val="222222"/>
          <w:shd w:val="clear" w:color="auto" w:fill="FFFFFF"/>
          <w:lang w:val="sr-Cyrl-RS"/>
        </w:rPr>
        <w:t>са 1</w:t>
      </w:r>
      <w:r w:rsidR="002962E3" w:rsidRPr="003C0133">
        <w:rPr>
          <w:color w:val="222222"/>
          <w:shd w:val="clear" w:color="auto" w:fill="FFFFFF"/>
          <w:lang w:val="sr-Cyrl-RS"/>
        </w:rPr>
        <w:t>000 и више запослених).</w:t>
      </w:r>
      <w:r w:rsidR="002962E3">
        <w:rPr>
          <w:color w:val="222222"/>
          <w:shd w:val="clear" w:color="auto" w:fill="FFFFFF"/>
          <w:lang w:val="sr-Cyrl-RS"/>
        </w:rPr>
        <w:t xml:space="preserve"> </w:t>
      </w:r>
    </w:p>
    <w:p w14:paraId="6F06072B" w14:textId="77777777" w:rsidR="00781385" w:rsidRPr="002962E3" w:rsidRDefault="00781385" w:rsidP="00781385">
      <w:pPr>
        <w:pStyle w:val="Pasus"/>
        <w:ind w:left="0" w:firstLine="720"/>
        <w:rPr>
          <w:color w:val="222222"/>
          <w:shd w:val="clear" w:color="auto" w:fill="FFFFFF"/>
          <w:lang w:val="sr-Cyrl-RS"/>
        </w:rPr>
      </w:pPr>
    </w:p>
    <w:p w14:paraId="554E006B" w14:textId="77777777" w:rsidR="00781385" w:rsidRPr="002962E3" w:rsidRDefault="00781385" w:rsidP="00781385">
      <w:pPr>
        <w:pStyle w:val="Pasus"/>
        <w:ind w:left="0" w:firstLine="720"/>
        <w:rPr>
          <w:b/>
          <w:color w:val="222222"/>
          <w:shd w:val="clear" w:color="auto" w:fill="FFFFFF"/>
          <w:lang w:val="sr-Cyrl-RS"/>
        </w:rPr>
      </w:pPr>
    </w:p>
    <w:p w14:paraId="2C72F631" w14:textId="77777777" w:rsidR="00781385" w:rsidRPr="002962E3" w:rsidRDefault="00781385" w:rsidP="00781385">
      <w:pPr>
        <w:pStyle w:val="Pasus"/>
        <w:ind w:left="0" w:firstLine="720"/>
        <w:rPr>
          <w:b/>
          <w:color w:val="222222"/>
          <w:shd w:val="clear" w:color="auto" w:fill="FFFFFF"/>
          <w:lang w:val="sr-Cyrl-RS"/>
        </w:rPr>
      </w:pPr>
    </w:p>
    <w:sectPr w:rsidR="00781385" w:rsidRPr="002962E3" w:rsidSect="00CB7DB9">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IS">
    <w:altName w:val="Arial"/>
    <w:charset w:val="00"/>
    <w:family w:val="swiss"/>
    <w:pitch w:val="variable"/>
    <w:sig w:usb0="20001A87" w:usb1="00000000"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2DA7"/>
    <w:multiLevelType w:val="hybridMultilevel"/>
    <w:tmpl w:val="E9027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07C56"/>
    <w:multiLevelType w:val="hybridMultilevel"/>
    <w:tmpl w:val="6DCA6672"/>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2" w15:restartNumberingAfterBreak="0">
    <w:nsid w:val="223C1B17"/>
    <w:multiLevelType w:val="hybridMultilevel"/>
    <w:tmpl w:val="00FC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044DA"/>
    <w:multiLevelType w:val="hybridMultilevel"/>
    <w:tmpl w:val="6060D508"/>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4" w15:restartNumberingAfterBreak="0">
    <w:nsid w:val="4241064B"/>
    <w:multiLevelType w:val="hybridMultilevel"/>
    <w:tmpl w:val="C0F861D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5" w15:restartNumberingAfterBreak="0">
    <w:nsid w:val="54B20414"/>
    <w:multiLevelType w:val="multilevel"/>
    <w:tmpl w:val="27A43D9A"/>
    <w:lvl w:ilvl="0">
      <w:start w:val="1"/>
      <w:numFmt w:val="decimal"/>
      <w:lvlText w:val="%1."/>
      <w:lvlJc w:val="left"/>
      <w:pPr>
        <w:tabs>
          <w:tab w:val="num" w:pos="474"/>
        </w:tabs>
        <w:ind w:left="474" w:hanging="360"/>
      </w:pPr>
      <w:rPr>
        <w:rFonts w:cs="Times New Roman"/>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6" w15:restartNumberingAfterBreak="0">
    <w:nsid w:val="555A194F"/>
    <w:multiLevelType w:val="hybridMultilevel"/>
    <w:tmpl w:val="D1263370"/>
    <w:lvl w:ilvl="0" w:tplc="AAC0FA3E">
      <w:numFmt w:val="bullet"/>
      <w:lvlText w:val="-"/>
      <w:lvlJc w:val="left"/>
      <w:pPr>
        <w:ind w:left="1211" w:hanging="360"/>
      </w:pPr>
      <w:rPr>
        <w:rFonts w:ascii="Arial" w:eastAsia="Times New Roman" w:hAnsi="Arial" w:cs="Aria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75BC708D"/>
    <w:multiLevelType w:val="hybridMultilevel"/>
    <w:tmpl w:val="69926762"/>
    <w:lvl w:ilvl="0" w:tplc="0409000B">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05"/>
    <w:rsid w:val="000646D6"/>
    <w:rsid w:val="000677CC"/>
    <w:rsid w:val="00093030"/>
    <w:rsid w:val="00097A41"/>
    <w:rsid w:val="000C4963"/>
    <w:rsid w:val="000D588D"/>
    <w:rsid w:val="000E21B7"/>
    <w:rsid w:val="00104BDE"/>
    <w:rsid w:val="00134D82"/>
    <w:rsid w:val="0015430E"/>
    <w:rsid w:val="001B7A11"/>
    <w:rsid w:val="001F0ECB"/>
    <w:rsid w:val="00202E83"/>
    <w:rsid w:val="00224758"/>
    <w:rsid w:val="00233BC6"/>
    <w:rsid w:val="002642F4"/>
    <w:rsid w:val="002962E3"/>
    <w:rsid w:val="002B1199"/>
    <w:rsid w:val="002B1F37"/>
    <w:rsid w:val="002C0BE5"/>
    <w:rsid w:val="002C2A5E"/>
    <w:rsid w:val="002D2616"/>
    <w:rsid w:val="00310C00"/>
    <w:rsid w:val="00330980"/>
    <w:rsid w:val="0034060E"/>
    <w:rsid w:val="00350BD9"/>
    <w:rsid w:val="00361655"/>
    <w:rsid w:val="00380127"/>
    <w:rsid w:val="00391018"/>
    <w:rsid w:val="0039519B"/>
    <w:rsid w:val="003C0133"/>
    <w:rsid w:val="004048E9"/>
    <w:rsid w:val="004359EB"/>
    <w:rsid w:val="004B3AA0"/>
    <w:rsid w:val="004C0F1A"/>
    <w:rsid w:val="004E224E"/>
    <w:rsid w:val="005074E5"/>
    <w:rsid w:val="0054405A"/>
    <w:rsid w:val="00567308"/>
    <w:rsid w:val="005C2FCB"/>
    <w:rsid w:val="005D294A"/>
    <w:rsid w:val="005E2463"/>
    <w:rsid w:val="005F0D07"/>
    <w:rsid w:val="00634D4C"/>
    <w:rsid w:val="006409D4"/>
    <w:rsid w:val="00642CD2"/>
    <w:rsid w:val="0067785B"/>
    <w:rsid w:val="00680030"/>
    <w:rsid w:val="00687E3D"/>
    <w:rsid w:val="006A4DC0"/>
    <w:rsid w:val="006D20B3"/>
    <w:rsid w:val="006E1D5E"/>
    <w:rsid w:val="006E62D3"/>
    <w:rsid w:val="00707E7E"/>
    <w:rsid w:val="007250D2"/>
    <w:rsid w:val="00737D79"/>
    <w:rsid w:val="007470C1"/>
    <w:rsid w:val="00781385"/>
    <w:rsid w:val="00786334"/>
    <w:rsid w:val="00786EA9"/>
    <w:rsid w:val="007A001A"/>
    <w:rsid w:val="007A47F0"/>
    <w:rsid w:val="007D2681"/>
    <w:rsid w:val="008021E8"/>
    <w:rsid w:val="008047A0"/>
    <w:rsid w:val="00810769"/>
    <w:rsid w:val="008279D2"/>
    <w:rsid w:val="00837B47"/>
    <w:rsid w:val="00874B90"/>
    <w:rsid w:val="00893C49"/>
    <w:rsid w:val="00896A66"/>
    <w:rsid w:val="008B4803"/>
    <w:rsid w:val="008B526B"/>
    <w:rsid w:val="008D6F89"/>
    <w:rsid w:val="008E2CBE"/>
    <w:rsid w:val="008E58E4"/>
    <w:rsid w:val="008F1F4A"/>
    <w:rsid w:val="009007A2"/>
    <w:rsid w:val="00946A43"/>
    <w:rsid w:val="009573BA"/>
    <w:rsid w:val="00972D8A"/>
    <w:rsid w:val="00973584"/>
    <w:rsid w:val="00997950"/>
    <w:rsid w:val="009A3045"/>
    <w:rsid w:val="009B6705"/>
    <w:rsid w:val="009E40CE"/>
    <w:rsid w:val="009F15DC"/>
    <w:rsid w:val="00A10335"/>
    <w:rsid w:val="00A203B6"/>
    <w:rsid w:val="00A27C71"/>
    <w:rsid w:val="00A47A37"/>
    <w:rsid w:val="00A62C95"/>
    <w:rsid w:val="00A90153"/>
    <w:rsid w:val="00AB53A8"/>
    <w:rsid w:val="00AC18EA"/>
    <w:rsid w:val="00AF578A"/>
    <w:rsid w:val="00B07DA7"/>
    <w:rsid w:val="00B4610E"/>
    <w:rsid w:val="00B65A9B"/>
    <w:rsid w:val="00B70520"/>
    <w:rsid w:val="00B754B5"/>
    <w:rsid w:val="00B8113D"/>
    <w:rsid w:val="00B84E95"/>
    <w:rsid w:val="00BD157D"/>
    <w:rsid w:val="00BE080F"/>
    <w:rsid w:val="00C17016"/>
    <w:rsid w:val="00C47165"/>
    <w:rsid w:val="00C52B91"/>
    <w:rsid w:val="00C67CA9"/>
    <w:rsid w:val="00C87074"/>
    <w:rsid w:val="00C959B2"/>
    <w:rsid w:val="00CB4447"/>
    <w:rsid w:val="00CB7DB9"/>
    <w:rsid w:val="00CF1C0A"/>
    <w:rsid w:val="00CF2889"/>
    <w:rsid w:val="00CF42A9"/>
    <w:rsid w:val="00CF6FD1"/>
    <w:rsid w:val="00D624B5"/>
    <w:rsid w:val="00DC6EED"/>
    <w:rsid w:val="00DE3367"/>
    <w:rsid w:val="00DE5140"/>
    <w:rsid w:val="00DF2A29"/>
    <w:rsid w:val="00DF681D"/>
    <w:rsid w:val="00E30D77"/>
    <w:rsid w:val="00E31163"/>
    <w:rsid w:val="00E3277B"/>
    <w:rsid w:val="00E337B0"/>
    <w:rsid w:val="00E54B40"/>
    <w:rsid w:val="00EA09F5"/>
    <w:rsid w:val="00EA674E"/>
    <w:rsid w:val="00EB2FB0"/>
    <w:rsid w:val="00EE5951"/>
    <w:rsid w:val="00F33F59"/>
    <w:rsid w:val="00F43C33"/>
    <w:rsid w:val="00F63749"/>
    <w:rsid w:val="00F741C1"/>
    <w:rsid w:val="00FB0030"/>
    <w:rsid w:val="00FB6122"/>
    <w:rsid w:val="00FC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9058"/>
  <w15:docId w15:val="{7E95C253-627A-4BED-A6CD-F0FDB1DC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153"/>
    <w:rPr>
      <w:lang w:val="sr-Cyrl-RS"/>
    </w:rPr>
  </w:style>
  <w:style w:type="paragraph" w:styleId="Heading3">
    <w:name w:val="heading 3"/>
    <w:basedOn w:val="Normal"/>
    <w:next w:val="Normal"/>
    <w:link w:val="Heading3Char"/>
    <w:uiPriority w:val="9"/>
    <w:semiHidden/>
    <w:unhideWhenUsed/>
    <w:qFormat/>
    <w:rsid w:val="006800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
    <w:name w:val="Pasus"/>
    <w:basedOn w:val="Normal"/>
    <w:link w:val="PasusChar"/>
    <w:rsid w:val="00810769"/>
    <w:pPr>
      <w:spacing w:after="0" w:line="240" w:lineRule="auto"/>
      <w:ind w:left="284" w:firstLine="567"/>
      <w:jc w:val="both"/>
    </w:pPr>
    <w:rPr>
      <w:rFonts w:ascii="Arial" w:eastAsia="Times New Roman" w:hAnsi="Arial" w:cs="Arial"/>
      <w:sz w:val="20"/>
      <w:szCs w:val="20"/>
      <w:lang w:val="sr-Cyrl-CS"/>
    </w:rPr>
  </w:style>
  <w:style w:type="character" w:customStyle="1" w:styleId="PasusChar">
    <w:name w:val="Pasus Char"/>
    <w:basedOn w:val="DefaultParagraphFont"/>
    <w:link w:val="Pasus"/>
    <w:rsid w:val="00810769"/>
    <w:rPr>
      <w:rFonts w:ascii="Arial" w:eastAsia="Times New Roman" w:hAnsi="Arial" w:cs="Arial"/>
      <w:sz w:val="20"/>
      <w:szCs w:val="20"/>
      <w:lang w:val="sr-Cyrl-CS"/>
    </w:rPr>
  </w:style>
  <w:style w:type="paragraph" w:customStyle="1" w:styleId="CharCharCharCharChar1Char">
    <w:name w:val="Char Char Char Char Char1 Char"/>
    <w:basedOn w:val="Normal"/>
    <w:rsid w:val="00810769"/>
    <w:pPr>
      <w:tabs>
        <w:tab w:val="left" w:pos="567"/>
      </w:tabs>
      <w:spacing w:before="120" w:line="240" w:lineRule="exact"/>
      <w:ind w:left="1584" w:hanging="504"/>
    </w:pPr>
    <w:rPr>
      <w:rFonts w:ascii="Arial" w:eastAsia="Times New Roman" w:hAnsi="Arial" w:cs="Times New Roman"/>
      <w:b/>
      <w:bCs/>
      <w:color w:val="000000"/>
      <w:sz w:val="24"/>
      <w:szCs w:val="24"/>
    </w:rPr>
  </w:style>
  <w:style w:type="paragraph" w:styleId="ListParagraph">
    <w:name w:val="List Paragraph"/>
    <w:basedOn w:val="Normal"/>
    <w:uiPriority w:val="34"/>
    <w:qFormat/>
    <w:rsid w:val="00380127"/>
    <w:pPr>
      <w:ind w:left="720"/>
      <w:contextualSpacing/>
    </w:pPr>
  </w:style>
  <w:style w:type="character" w:styleId="Strong">
    <w:name w:val="Strong"/>
    <w:basedOn w:val="DefaultParagraphFont"/>
    <w:uiPriority w:val="22"/>
    <w:qFormat/>
    <w:rsid w:val="004048E9"/>
    <w:rPr>
      <w:b/>
      <w:bCs/>
    </w:rPr>
  </w:style>
  <w:style w:type="paragraph" w:customStyle="1" w:styleId="Naslov3">
    <w:name w:val="Naslov3"/>
    <w:basedOn w:val="Heading3"/>
    <w:rsid w:val="00680030"/>
    <w:pPr>
      <w:keepLines w:val="0"/>
      <w:spacing w:before="240" w:after="60" w:line="240" w:lineRule="auto"/>
      <w:ind w:left="284"/>
    </w:pPr>
    <w:rPr>
      <w:rFonts w:ascii="Arial" w:eastAsia="Times New Roman" w:hAnsi="Arial" w:cs="Arial"/>
      <w:b/>
      <w:bCs/>
      <w:color w:val="auto"/>
      <w:szCs w:val="26"/>
      <w:lang w:val="sr-Cyrl-CS"/>
    </w:rPr>
  </w:style>
  <w:style w:type="character" w:customStyle="1" w:styleId="Heading3Char">
    <w:name w:val="Heading 3 Char"/>
    <w:basedOn w:val="DefaultParagraphFont"/>
    <w:link w:val="Heading3"/>
    <w:uiPriority w:val="9"/>
    <w:semiHidden/>
    <w:rsid w:val="00680030"/>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680030"/>
    <w:pPr>
      <w:spacing w:after="0" w:line="240" w:lineRule="auto"/>
      <w:ind w:firstLine="360"/>
      <w:jc w:val="both"/>
    </w:pPr>
    <w:rPr>
      <w:rFonts w:ascii="Arial" w:eastAsia="Times New Roman" w:hAnsi="Arial" w:cs="Arial"/>
      <w:sz w:val="20"/>
      <w:szCs w:val="20"/>
      <w:lang w:val="sr-Cyrl-CS"/>
    </w:rPr>
  </w:style>
  <w:style w:type="character" w:customStyle="1" w:styleId="BodyTextIndentChar">
    <w:name w:val="Body Text Indent Char"/>
    <w:basedOn w:val="DefaultParagraphFont"/>
    <w:link w:val="BodyTextIndent"/>
    <w:rsid w:val="00680030"/>
    <w:rPr>
      <w:rFonts w:ascii="Arial" w:eastAsia="Times New Roman" w:hAnsi="Arial" w:cs="Arial"/>
      <w:sz w:val="20"/>
      <w:szCs w:val="20"/>
      <w:lang w:val="sr-Cyrl-CS"/>
    </w:rPr>
  </w:style>
  <w:style w:type="character" w:styleId="CommentReference">
    <w:name w:val="annotation reference"/>
    <w:basedOn w:val="DefaultParagraphFont"/>
    <w:uiPriority w:val="99"/>
    <w:semiHidden/>
    <w:unhideWhenUsed/>
    <w:rsid w:val="008279D2"/>
    <w:rPr>
      <w:sz w:val="16"/>
      <w:szCs w:val="16"/>
    </w:rPr>
  </w:style>
  <w:style w:type="paragraph" w:styleId="CommentText">
    <w:name w:val="annotation text"/>
    <w:basedOn w:val="Normal"/>
    <w:link w:val="CommentTextChar"/>
    <w:uiPriority w:val="99"/>
    <w:semiHidden/>
    <w:unhideWhenUsed/>
    <w:rsid w:val="008279D2"/>
    <w:pPr>
      <w:spacing w:line="240" w:lineRule="auto"/>
    </w:pPr>
    <w:rPr>
      <w:sz w:val="20"/>
      <w:szCs w:val="20"/>
    </w:rPr>
  </w:style>
  <w:style w:type="character" w:customStyle="1" w:styleId="CommentTextChar">
    <w:name w:val="Comment Text Char"/>
    <w:basedOn w:val="DefaultParagraphFont"/>
    <w:link w:val="CommentText"/>
    <w:uiPriority w:val="99"/>
    <w:semiHidden/>
    <w:rsid w:val="008279D2"/>
    <w:rPr>
      <w:sz w:val="20"/>
      <w:szCs w:val="20"/>
    </w:rPr>
  </w:style>
  <w:style w:type="paragraph" w:styleId="CommentSubject">
    <w:name w:val="annotation subject"/>
    <w:basedOn w:val="CommentText"/>
    <w:next w:val="CommentText"/>
    <w:link w:val="CommentSubjectChar"/>
    <w:uiPriority w:val="99"/>
    <w:semiHidden/>
    <w:unhideWhenUsed/>
    <w:rsid w:val="008279D2"/>
    <w:rPr>
      <w:b/>
      <w:bCs/>
    </w:rPr>
  </w:style>
  <w:style w:type="character" w:customStyle="1" w:styleId="CommentSubjectChar">
    <w:name w:val="Comment Subject Char"/>
    <w:basedOn w:val="CommentTextChar"/>
    <w:link w:val="CommentSubject"/>
    <w:uiPriority w:val="99"/>
    <w:semiHidden/>
    <w:rsid w:val="008279D2"/>
    <w:rPr>
      <w:b/>
      <w:bCs/>
      <w:sz w:val="20"/>
      <w:szCs w:val="20"/>
    </w:rPr>
  </w:style>
  <w:style w:type="paragraph" w:styleId="BalloonText">
    <w:name w:val="Balloon Text"/>
    <w:basedOn w:val="Normal"/>
    <w:link w:val="BalloonTextChar"/>
    <w:uiPriority w:val="99"/>
    <w:semiHidden/>
    <w:unhideWhenUsed/>
    <w:rsid w:val="0082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43342">
      <w:bodyDiv w:val="1"/>
      <w:marLeft w:val="0"/>
      <w:marRight w:val="0"/>
      <w:marTop w:val="0"/>
      <w:marBottom w:val="0"/>
      <w:divBdr>
        <w:top w:val="none" w:sz="0" w:space="0" w:color="auto"/>
        <w:left w:val="none" w:sz="0" w:space="0" w:color="auto"/>
        <w:bottom w:val="none" w:sz="0" w:space="0" w:color="auto"/>
        <w:right w:val="none" w:sz="0" w:space="0" w:color="auto"/>
      </w:divBdr>
    </w:div>
    <w:div w:id="122055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5B284-7C99-4B46-8EBA-DF9B9C09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Milijana Smiljkovic</dc:creator>
  <cp:keywords/>
  <dc:description/>
  <cp:lastModifiedBy>Milijana Smiljkovic</cp:lastModifiedBy>
  <cp:revision>4</cp:revision>
  <dcterms:created xsi:type="dcterms:W3CDTF">2018-07-16T07:40:00Z</dcterms:created>
  <dcterms:modified xsi:type="dcterms:W3CDTF">2018-07-16T08:10:00Z</dcterms:modified>
</cp:coreProperties>
</file>