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4A3E1" w14:textId="77777777" w:rsidR="00EF3606" w:rsidRDefault="00EF3606" w:rsidP="002A74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6F7FBF82" w14:textId="77777777" w:rsidR="002A74C9" w:rsidRDefault="002A74C9" w:rsidP="002A74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sr-Cyrl-RS"/>
        </w:rPr>
      </w:pPr>
      <w:r w:rsidRPr="00EF3606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sr-Cyrl-RS"/>
        </w:rPr>
        <w:t>Ревизија података Анкете о радној снази</w:t>
      </w:r>
      <w:r w:rsidR="00EF3606" w:rsidRPr="00EF3606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sr-Cyrl-RS"/>
        </w:rPr>
        <w:t xml:space="preserve"> </w:t>
      </w:r>
      <w:r w:rsidRPr="00EF3606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sr-Cyrl-RS"/>
        </w:rPr>
        <w:t xml:space="preserve">након увођења нове методоогије 2021. године </w:t>
      </w:r>
    </w:p>
    <w:p w14:paraId="12E2D717" w14:textId="77777777" w:rsidR="00EF3606" w:rsidRPr="00EF3606" w:rsidRDefault="00EF3606" w:rsidP="002A74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sr-Cyrl-RS"/>
        </w:rPr>
      </w:pPr>
    </w:p>
    <w:p w14:paraId="23624062" w14:textId="77777777" w:rsidR="002A74C9" w:rsidRPr="00952394" w:rsidRDefault="002A74C9" w:rsidP="002A74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52394">
        <w:rPr>
          <w:rFonts w:ascii="Times New Roman" w:eastAsia="Times New Roman" w:hAnsi="Times New Roman" w:cs="Times New Roman"/>
        </w:rPr>
        <w:t xml:space="preserve">Од 2021. Републички завод за статистику (РЗС) је прешао на нову методологију Анкете о </w:t>
      </w:r>
      <w:r w:rsidRPr="005D1780">
        <w:rPr>
          <w:rFonts w:ascii="Times New Roman" w:eastAsia="Times New Roman" w:hAnsi="Times New Roman" w:cs="Times New Roman"/>
          <w:lang w:val="sr-Cyrl-RS"/>
        </w:rPr>
        <w:t>радној</w:t>
      </w:r>
      <w:r w:rsidRPr="00952394">
        <w:rPr>
          <w:rFonts w:ascii="Times New Roman" w:eastAsia="Times New Roman" w:hAnsi="Times New Roman" w:cs="Times New Roman"/>
        </w:rPr>
        <w:t xml:space="preserve"> снази (АРС), у складу са Уредбом Eвропског парламента. Нове промене које се углавном односе на дефиниције и начин спецификације одређених категорија становништва на тржишту рада – запослених лица, незапослених лица и лица ван радне снаге – као и на опсег и обим варијабли посвећених њиховим додатним карактеристикама. Како би се обезбедила упоредивост података након преласка на нову методологију,  извршена је  ревизија  временских серија АРС-а за период од 2010. до 2020. године.  </w:t>
      </w:r>
    </w:p>
    <w:p w14:paraId="0B4CBDD5" w14:textId="6E2C711B" w:rsidR="002A74C9" w:rsidRPr="00952394" w:rsidRDefault="002A74C9" w:rsidP="002A74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52394">
        <w:rPr>
          <w:rFonts w:ascii="Times New Roman" w:eastAsia="Times New Roman" w:hAnsi="Times New Roman" w:cs="Times New Roman"/>
        </w:rPr>
        <w:t>У складу са препорукама Евростата за исправљање прекида у временским серијама, за потребе ревизије су у 2020. години спроведени паралелно пилот-истраживање (према новој методологији, важећој од 2021) и редовно истраживање (према старој методологији, важећој закључно са 2020. годином). Поређењем резултата редовног и пилот-истраживања добијени су корективни фактори за процене прекида насталог услед промене методологије</w:t>
      </w:r>
      <w:r w:rsidR="005D1780">
        <w:rPr>
          <w:rFonts w:ascii="Times New Roman" w:eastAsia="Times New Roman" w:hAnsi="Times New Roman" w:cs="Times New Roman"/>
          <w:lang w:val="sr-Cyrl-RS"/>
        </w:rPr>
        <w:t xml:space="preserve">. </w:t>
      </w:r>
      <w:r w:rsidRPr="00952394">
        <w:rPr>
          <w:rFonts w:ascii="Times New Roman" w:eastAsia="Times New Roman" w:hAnsi="Times New Roman" w:cs="Times New Roman"/>
        </w:rPr>
        <w:t xml:space="preserve">Методолошки приступ коришћен приликом израчунавања корективних фактора подразумева две процене исте варијабле по новој и старој методологији у неколико временских тачака, на основу којих се одређују корективни фактори као количник или разлика процена вредности по новој и старој методологији. Како се корективни </w:t>
      </w:r>
      <w:r w:rsidRPr="005D1780">
        <w:rPr>
          <w:rFonts w:ascii="Times New Roman" w:eastAsia="Times New Roman" w:hAnsi="Times New Roman" w:cs="Times New Roman"/>
          <w:lang w:val="sr-Cyrl-RS"/>
        </w:rPr>
        <w:t>фактори</w:t>
      </w:r>
      <w:r w:rsidRPr="00952394">
        <w:rPr>
          <w:rFonts w:ascii="Times New Roman" w:eastAsia="Times New Roman" w:hAnsi="Times New Roman" w:cs="Times New Roman"/>
        </w:rPr>
        <w:t xml:space="preserve"> израчунати у различитим временским тачкама могу разликовати, за исправљање прекида коришћени су корективни фактори добијени поређењем резултата у четвртом кварталу 2020. године као најпоузданији. Применом ових корективних фактора, ревизија серија АРС-а извршена је на следећи начин:</w:t>
      </w:r>
    </w:p>
    <w:p w14:paraId="1A1B39C5" w14:textId="77777777" w:rsidR="002A74C9" w:rsidRPr="00952394" w:rsidRDefault="002A74C9" w:rsidP="002A74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52394">
        <w:rPr>
          <w:rFonts w:ascii="Times New Roman" w:eastAsia="Times New Roman" w:hAnsi="Times New Roman" w:cs="Times New Roman"/>
        </w:rPr>
        <w:t>Уколико је за дату серију корективни фактор израчунат као количник процена вредности по новој и старој методологији, он је примењен као мултипликативни фактор, односно ревизија је извршена тако што је свака вредност у серији помножена тим фактором.</w:t>
      </w:r>
    </w:p>
    <w:p w14:paraId="2184068C" w14:textId="77777777" w:rsidR="002A74C9" w:rsidRPr="00952394" w:rsidRDefault="002A74C9" w:rsidP="002A74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52394">
        <w:rPr>
          <w:rFonts w:ascii="Times New Roman" w:eastAsia="Times New Roman" w:hAnsi="Times New Roman" w:cs="Times New Roman"/>
        </w:rPr>
        <w:t>Уколико је за дату серију корективни фактор израчунат као разлика процена вредности по новој и старој методологији, он је примењен као адитивни фактор, односно ревизија је извршена тако што је свака вредност у серији сабрана са тим фактором.</w:t>
      </w:r>
    </w:p>
    <w:p w14:paraId="60FBE360" w14:textId="77777777" w:rsidR="002A74C9" w:rsidRPr="00952394" w:rsidRDefault="002A74C9" w:rsidP="002A74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52394">
        <w:rPr>
          <w:rFonts w:ascii="Times New Roman" w:eastAsia="Times New Roman" w:hAnsi="Times New Roman" w:cs="Times New Roman"/>
        </w:rPr>
        <w:t>Након тога, ради одржања мултиваријантне структуре серија АРС-а и испуњења одговарајућих линеарних ограничења (нпр. како би збир ревидираних података по полу и/или старосним групама био једнак ревидираној серији тотала), примењени су додатни корективни фактори у складу са препорукама Евростата, датим на радионици посвећеној овој теми.</w:t>
      </w:r>
    </w:p>
    <w:p w14:paraId="3A4ED4C2" w14:textId="77777777" w:rsidR="002A74C9" w:rsidRDefault="002A74C9" w:rsidP="002A74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952394">
        <w:rPr>
          <w:rFonts w:ascii="Times New Roman" w:eastAsia="Times New Roman" w:hAnsi="Times New Roman" w:cs="Times New Roman"/>
        </w:rPr>
        <w:t>Додатно, оправданост одабира овог приступа у исправљању прекида и поузданост добијених резултата потврђене су применом корелационе анализе на ревидиране временске серије АРС-а и податке о регистрованој запослености из базе РЗС-а.</w:t>
      </w:r>
    </w:p>
    <w:p w14:paraId="7D44EC1E" w14:textId="77777777" w:rsidR="00EF3606" w:rsidRDefault="00EF3606" w:rsidP="002A74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14:paraId="58232C57" w14:textId="77777777" w:rsidR="00EF3606" w:rsidRPr="00952394" w:rsidRDefault="00EF3606" w:rsidP="002A74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14:paraId="5868DFBE" w14:textId="39FC0A8D" w:rsidR="005D294A" w:rsidRPr="00EF3606" w:rsidRDefault="00EF3606" w:rsidP="002A74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</w:rPr>
      </w:pPr>
      <w:r w:rsidRPr="00EF3606">
        <w:rPr>
          <w:rFonts w:ascii="Times New Roman" w:eastAsia="Times New Roman" w:hAnsi="Times New Roman" w:cs="Times New Roman"/>
          <w:b/>
        </w:rPr>
        <w:lastRenderedPageBreak/>
        <w:t>Графикон: Упоредни преглед стопе запослености и незапослености</w:t>
      </w:r>
      <w:r>
        <w:rPr>
          <w:rFonts w:ascii="Times New Roman" w:eastAsia="Times New Roman" w:hAnsi="Times New Roman" w:cs="Times New Roman"/>
          <w:b/>
        </w:rPr>
        <w:t xml:space="preserve"> оригиналне серије (</w:t>
      </w:r>
      <w:r w:rsidRPr="00EF3606">
        <w:rPr>
          <w:rFonts w:ascii="Times New Roman" w:eastAsia="Times New Roman" w:hAnsi="Times New Roman" w:cs="Times New Roman"/>
          <w:b/>
        </w:rPr>
        <w:t>стара методологија) и ревидиране серије (нова методологија)</w:t>
      </w:r>
    </w:p>
    <w:p w14:paraId="4A5C6991" w14:textId="77777777" w:rsidR="00EF3606" w:rsidRPr="00EF3606" w:rsidRDefault="00EF3606" w:rsidP="002A74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EF3606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564ACEF1" wp14:editId="0EF1E9A4">
            <wp:extent cx="6200775" cy="5667375"/>
            <wp:effectExtent l="0" t="0" r="9525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GoBack"/>
      <w:bookmarkEnd w:id="0"/>
    </w:p>
    <w:sectPr w:rsidR="00EF3606" w:rsidRPr="00EF36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CB979A0" w16cex:dateUtc="2024-05-27T0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52D92E0" w16cid:durableId="4CB979A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0F4C"/>
    <w:multiLevelType w:val="multilevel"/>
    <w:tmpl w:val="0DCEF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9C166B"/>
    <w:multiLevelType w:val="multilevel"/>
    <w:tmpl w:val="6FFEB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C9"/>
    <w:rsid w:val="000A76CA"/>
    <w:rsid w:val="0011387B"/>
    <w:rsid w:val="00223500"/>
    <w:rsid w:val="002A74C9"/>
    <w:rsid w:val="005D1780"/>
    <w:rsid w:val="005D294A"/>
    <w:rsid w:val="00822C34"/>
    <w:rsid w:val="009139D6"/>
    <w:rsid w:val="00A90153"/>
    <w:rsid w:val="00E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CF1A6"/>
  <w15:chartTrackingRefBased/>
  <w15:docId w15:val="{C04B0629-2D80-46D2-B01E-172279CB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4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D17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17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17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7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7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9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SVE\MMM%20%20zaposleni\ARS%20M\2021\podaci%20ya%20brosuru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l"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900" b="1" dirty="0">
                <a:effectLst/>
              </a:rPr>
              <a:t>Стопе запослености/незапослености, популација узраста 15 и више година, 2015‒2020. (%)</a:t>
            </a:r>
          </a:p>
          <a:p>
            <a:pPr algn="l">
              <a:defRPr b="1"/>
            </a:pPr>
            <a:r>
              <a:rPr lang="sr-Cyrl-RS" sz="900" b="1" dirty="0">
                <a:effectLst/>
              </a:rPr>
              <a:t>Оригиналана серија</a:t>
            </a:r>
            <a:r>
              <a:rPr lang="sr-Cyrl-RS" sz="900" b="1" baseline="0" dirty="0">
                <a:effectLst/>
              </a:rPr>
              <a:t> ( стара методологија) и ревидирана серија ( нова методологија</a:t>
            </a:r>
            <a:r>
              <a:rPr lang="sr-Cyrl-RS" sz="1000" b="1" baseline="0" dirty="0">
                <a:effectLst/>
              </a:rPr>
              <a:t>)</a:t>
            </a:r>
            <a:endParaRPr lang="en-US" sz="1000" b="1" dirty="0">
              <a:effectLst/>
            </a:endParaRPr>
          </a:p>
        </c:rich>
      </c:tx>
      <c:layout>
        <c:manualLayout>
          <c:xMode val="edge"/>
          <c:yMode val="edge"/>
          <c:x val="6.8332748728989534E-2"/>
          <c:y val="1.012249939345817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l"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'graf rev. 15+ '!$A$45</c:f>
              <c:strCache>
                <c:ptCount val="1"/>
                <c:pt idx="0">
                  <c:v>стопа запослености, оригинална серија (стара методологија)  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'graf rev. 15+ '!$B$43:$Y$44</c:f>
              <c:multiLvlStrCache>
                <c:ptCount val="24"/>
                <c:lvl>
                  <c:pt idx="0">
                    <c:v>I  Q</c:v>
                  </c:pt>
                  <c:pt idx="1">
                    <c:v>II  Q</c:v>
                  </c:pt>
                  <c:pt idx="2">
                    <c:v>III  Q</c:v>
                  </c:pt>
                  <c:pt idx="3">
                    <c:v>IV  Q</c:v>
                  </c:pt>
                  <c:pt idx="4">
                    <c:v>I  Q</c:v>
                  </c:pt>
                  <c:pt idx="5">
                    <c:v>II  Q</c:v>
                  </c:pt>
                  <c:pt idx="6">
                    <c:v>III  Q</c:v>
                  </c:pt>
                  <c:pt idx="7">
                    <c:v>IV  Q</c:v>
                  </c:pt>
                  <c:pt idx="8">
                    <c:v>I  Q</c:v>
                  </c:pt>
                  <c:pt idx="9">
                    <c:v>II  Q</c:v>
                  </c:pt>
                  <c:pt idx="10">
                    <c:v>III  Q</c:v>
                  </c:pt>
                  <c:pt idx="11">
                    <c:v>IV  Q</c:v>
                  </c:pt>
                  <c:pt idx="12">
                    <c:v>I  Q</c:v>
                  </c:pt>
                  <c:pt idx="13">
                    <c:v>II  Q</c:v>
                  </c:pt>
                  <c:pt idx="14">
                    <c:v>III  Q</c:v>
                  </c:pt>
                  <c:pt idx="15">
                    <c:v>IV  Q</c:v>
                  </c:pt>
                  <c:pt idx="16">
                    <c:v>I  Q</c:v>
                  </c:pt>
                  <c:pt idx="17">
                    <c:v>II  Q</c:v>
                  </c:pt>
                  <c:pt idx="18">
                    <c:v>III  Q</c:v>
                  </c:pt>
                  <c:pt idx="19">
                    <c:v>IV  Q</c:v>
                  </c:pt>
                  <c:pt idx="20">
                    <c:v>I  Q</c:v>
                  </c:pt>
                  <c:pt idx="21">
                    <c:v>II  Q</c:v>
                  </c:pt>
                  <c:pt idx="22">
                    <c:v>III  Q</c:v>
                  </c:pt>
                  <c:pt idx="23">
                    <c:v>IV  Q</c:v>
                  </c:pt>
                </c:lvl>
                <c:lvl>
                  <c:pt idx="0">
                    <c:v>2015</c:v>
                  </c:pt>
                  <c:pt idx="1">
                    <c:v>2015</c:v>
                  </c:pt>
                  <c:pt idx="2">
                    <c:v>2015</c:v>
                  </c:pt>
                  <c:pt idx="3">
                    <c:v>2015</c:v>
                  </c:pt>
                  <c:pt idx="4">
                    <c:v>2016</c:v>
                  </c:pt>
                  <c:pt idx="5">
                    <c:v>2016</c:v>
                  </c:pt>
                  <c:pt idx="6">
                    <c:v>2016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2017</c:v>
                  </c:pt>
                  <c:pt idx="10">
                    <c:v>2017</c:v>
                  </c:pt>
                  <c:pt idx="11">
                    <c:v>2017</c:v>
                  </c:pt>
                  <c:pt idx="12">
                    <c:v>2018</c:v>
                  </c:pt>
                  <c:pt idx="13">
                    <c:v>2018</c:v>
                  </c:pt>
                  <c:pt idx="14">
                    <c:v>2018</c:v>
                  </c:pt>
                  <c:pt idx="15">
                    <c:v>2018</c:v>
                  </c:pt>
                  <c:pt idx="16">
                    <c:v>2019</c:v>
                  </c:pt>
                  <c:pt idx="17">
                    <c:v>2019</c:v>
                  </c:pt>
                  <c:pt idx="18">
                    <c:v>2019</c:v>
                  </c:pt>
                  <c:pt idx="19">
                    <c:v>2019</c:v>
                  </c:pt>
                  <c:pt idx="20">
                    <c:v>2020</c:v>
                  </c:pt>
                  <c:pt idx="21">
                    <c:v>2020</c:v>
                  </c:pt>
                  <c:pt idx="22">
                    <c:v>2020</c:v>
                  </c:pt>
                  <c:pt idx="23">
                    <c:v>2020</c:v>
                  </c:pt>
                </c:lvl>
              </c:multiLvlStrCache>
            </c:multiLvlStrRef>
          </c:cat>
          <c:val>
            <c:numRef>
              <c:f>'graf rev. 15+ '!$B$45:$Y$45</c:f>
              <c:numCache>
                <c:formatCode>0.0</c:formatCode>
                <c:ptCount val="24"/>
                <c:pt idx="0">
                  <c:v>41.178043410911862</c:v>
                </c:pt>
                <c:pt idx="1">
                  <c:v>42.620401513507034</c:v>
                </c:pt>
                <c:pt idx="2">
                  <c:v>43.388266988743624</c:v>
                </c:pt>
                <c:pt idx="3">
                  <c:v>42.733971264929274</c:v>
                </c:pt>
                <c:pt idx="4">
                  <c:v>42.624270216682909</c:v>
                </c:pt>
                <c:pt idx="5">
                  <c:v>45.856511676070262</c:v>
                </c:pt>
                <c:pt idx="6">
                  <c:v>46.796957603753654</c:v>
                </c:pt>
                <c:pt idx="7">
                  <c:v>45.491198323453311</c:v>
                </c:pt>
                <c:pt idx="8">
                  <c:v>44.238125963898597</c:v>
                </c:pt>
                <c:pt idx="9">
                  <c:v>48.110300427822793</c:v>
                </c:pt>
                <c:pt idx="10">
                  <c:v>48.182632406371283</c:v>
                </c:pt>
                <c:pt idx="11">
                  <c:v>46.259338743400548</c:v>
                </c:pt>
                <c:pt idx="12">
                  <c:v>45.051000930763216</c:v>
                </c:pt>
                <c:pt idx="13">
                  <c:v>48.610069307751452</c:v>
                </c:pt>
                <c:pt idx="14">
                  <c:v>49.221019746802433</c:v>
                </c:pt>
                <c:pt idx="15">
                  <c:v>47.408095696111538</c:v>
                </c:pt>
                <c:pt idx="16">
                  <c:v>47.355313972218667</c:v>
                </c:pt>
                <c:pt idx="17">
                  <c:v>49.20225400737165</c:v>
                </c:pt>
                <c:pt idx="18">
                  <c:v>49.638317944075041</c:v>
                </c:pt>
                <c:pt idx="19">
                  <c:v>49.691625798713531</c:v>
                </c:pt>
                <c:pt idx="20">
                  <c:v>48.724099381606337</c:v>
                </c:pt>
                <c:pt idx="21">
                  <c:v>48.22342263524569</c:v>
                </c:pt>
                <c:pt idx="22">
                  <c:v>49.853855549526408</c:v>
                </c:pt>
                <c:pt idx="23">
                  <c:v>49.65172762989004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A0F-4DDC-95CE-E7D455CA337B}"/>
            </c:ext>
          </c:extLst>
        </c:ser>
        <c:ser>
          <c:idx val="1"/>
          <c:order val="1"/>
          <c:tx>
            <c:strRef>
              <c:f>'graf rev. 15+ '!$A$46</c:f>
              <c:strCache>
                <c:ptCount val="1"/>
                <c:pt idx="0">
                  <c:v>стопа запослености, ревидирана серија (нова методологија)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'graf rev. 15+ '!$B$43:$Y$44</c:f>
              <c:multiLvlStrCache>
                <c:ptCount val="24"/>
                <c:lvl>
                  <c:pt idx="0">
                    <c:v>I  Q</c:v>
                  </c:pt>
                  <c:pt idx="1">
                    <c:v>II  Q</c:v>
                  </c:pt>
                  <c:pt idx="2">
                    <c:v>III  Q</c:v>
                  </c:pt>
                  <c:pt idx="3">
                    <c:v>IV  Q</c:v>
                  </c:pt>
                  <c:pt idx="4">
                    <c:v>I  Q</c:v>
                  </c:pt>
                  <c:pt idx="5">
                    <c:v>II  Q</c:v>
                  </c:pt>
                  <c:pt idx="6">
                    <c:v>III  Q</c:v>
                  </c:pt>
                  <c:pt idx="7">
                    <c:v>IV  Q</c:v>
                  </c:pt>
                  <c:pt idx="8">
                    <c:v>I  Q</c:v>
                  </c:pt>
                  <c:pt idx="9">
                    <c:v>II  Q</c:v>
                  </c:pt>
                  <c:pt idx="10">
                    <c:v>III  Q</c:v>
                  </c:pt>
                  <c:pt idx="11">
                    <c:v>IV  Q</c:v>
                  </c:pt>
                  <c:pt idx="12">
                    <c:v>I  Q</c:v>
                  </c:pt>
                  <c:pt idx="13">
                    <c:v>II  Q</c:v>
                  </c:pt>
                  <c:pt idx="14">
                    <c:v>III  Q</c:v>
                  </c:pt>
                  <c:pt idx="15">
                    <c:v>IV  Q</c:v>
                  </c:pt>
                  <c:pt idx="16">
                    <c:v>I  Q</c:v>
                  </c:pt>
                  <c:pt idx="17">
                    <c:v>II  Q</c:v>
                  </c:pt>
                  <c:pt idx="18">
                    <c:v>III  Q</c:v>
                  </c:pt>
                  <c:pt idx="19">
                    <c:v>IV  Q</c:v>
                  </c:pt>
                  <c:pt idx="20">
                    <c:v>I  Q</c:v>
                  </c:pt>
                  <c:pt idx="21">
                    <c:v>II  Q</c:v>
                  </c:pt>
                  <c:pt idx="22">
                    <c:v>III  Q</c:v>
                  </c:pt>
                  <c:pt idx="23">
                    <c:v>IV  Q</c:v>
                  </c:pt>
                </c:lvl>
                <c:lvl>
                  <c:pt idx="0">
                    <c:v>2015</c:v>
                  </c:pt>
                  <c:pt idx="1">
                    <c:v>2015</c:v>
                  </c:pt>
                  <c:pt idx="2">
                    <c:v>2015</c:v>
                  </c:pt>
                  <c:pt idx="3">
                    <c:v>2015</c:v>
                  </c:pt>
                  <c:pt idx="4">
                    <c:v>2016</c:v>
                  </c:pt>
                  <c:pt idx="5">
                    <c:v>2016</c:v>
                  </c:pt>
                  <c:pt idx="6">
                    <c:v>2016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2017</c:v>
                  </c:pt>
                  <c:pt idx="10">
                    <c:v>2017</c:v>
                  </c:pt>
                  <c:pt idx="11">
                    <c:v>2017</c:v>
                  </c:pt>
                  <c:pt idx="12">
                    <c:v>2018</c:v>
                  </c:pt>
                  <c:pt idx="13">
                    <c:v>2018</c:v>
                  </c:pt>
                  <c:pt idx="14">
                    <c:v>2018</c:v>
                  </c:pt>
                  <c:pt idx="15">
                    <c:v>2018</c:v>
                  </c:pt>
                  <c:pt idx="16">
                    <c:v>2019</c:v>
                  </c:pt>
                  <c:pt idx="17">
                    <c:v>2019</c:v>
                  </c:pt>
                  <c:pt idx="18">
                    <c:v>2019</c:v>
                  </c:pt>
                  <c:pt idx="19">
                    <c:v>2019</c:v>
                  </c:pt>
                  <c:pt idx="20">
                    <c:v>2020</c:v>
                  </c:pt>
                  <c:pt idx="21">
                    <c:v>2020</c:v>
                  </c:pt>
                  <c:pt idx="22">
                    <c:v>2020</c:v>
                  </c:pt>
                  <c:pt idx="23">
                    <c:v>2020</c:v>
                  </c:pt>
                </c:lvl>
              </c:multiLvlStrCache>
            </c:multiLvlStrRef>
          </c:cat>
          <c:val>
            <c:numRef>
              <c:f>'graf rev. 15+ '!$B$46:$Y$46</c:f>
              <c:numCache>
                <c:formatCode>0.0</c:formatCode>
                <c:ptCount val="24"/>
                <c:pt idx="0">
                  <c:v>39.498673279212852</c:v>
                </c:pt>
                <c:pt idx="1">
                  <c:v>40.882207481591564</c:v>
                </c:pt>
                <c:pt idx="2">
                  <c:v>41.618756987504234</c:v>
                </c:pt>
                <c:pt idx="3">
                  <c:v>40.991145501328553</c:v>
                </c:pt>
                <c:pt idx="4">
                  <c:v>40.885918406883313</c:v>
                </c:pt>
                <c:pt idx="5">
                  <c:v>43.986338892865795</c:v>
                </c:pt>
                <c:pt idx="6">
                  <c:v>44.888430477539998</c:v>
                </c:pt>
                <c:pt idx="7">
                  <c:v>43.635924167825046</c:v>
                </c:pt>
                <c:pt idx="8">
                  <c:v>42.433956040506295</c:v>
                </c:pt>
                <c:pt idx="9">
                  <c:v>46.148211050255576</c:v>
                </c:pt>
                <c:pt idx="10">
                  <c:v>46.217593103205886</c:v>
                </c:pt>
                <c:pt idx="11">
                  <c:v>44.372737405338256</c:v>
                </c:pt>
                <c:pt idx="12">
                  <c:v>43.213679409405565</c:v>
                </c:pt>
                <c:pt idx="13">
                  <c:v>46.627597783287904</c:v>
                </c:pt>
                <c:pt idx="14">
                  <c:v>47.213631741751108</c:v>
                </c:pt>
                <c:pt idx="15">
                  <c:v>45.474644436218</c:v>
                </c:pt>
                <c:pt idx="16">
                  <c:v>45.424015824981637</c:v>
                </c:pt>
                <c:pt idx="17">
                  <c:v>47.195631328200058</c:v>
                </c:pt>
                <c:pt idx="18">
                  <c:v>47.613911205969352</c:v>
                </c:pt>
                <c:pt idx="19">
                  <c:v>47.665044998621177</c:v>
                </c:pt>
                <c:pt idx="20">
                  <c:v>46.736977352060833</c:v>
                </c:pt>
                <c:pt idx="21">
                  <c:v>46.25671977824522</c:v>
                </c:pt>
                <c:pt idx="22">
                  <c:v>47.820658509918502</c:v>
                </c:pt>
                <c:pt idx="23">
                  <c:v>47.626774002617999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A0F-4DDC-95CE-E7D455CA337B}"/>
            </c:ext>
          </c:extLst>
        </c:ser>
        <c:ser>
          <c:idx val="2"/>
          <c:order val="2"/>
          <c:tx>
            <c:strRef>
              <c:f>'graf rev. 15+ '!$A$47</c:f>
              <c:strCache>
                <c:ptCount val="1"/>
                <c:pt idx="0">
                  <c:v>стопа незапослености, оригинална серија (стара методологија)  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'graf rev. 15+ '!$B$43:$Y$44</c:f>
              <c:multiLvlStrCache>
                <c:ptCount val="24"/>
                <c:lvl>
                  <c:pt idx="0">
                    <c:v>I  Q</c:v>
                  </c:pt>
                  <c:pt idx="1">
                    <c:v>II  Q</c:v>
                  </c:pt>
                  <c:pt idx="2">
                    <c:v>III  Q</c:v>
                  </c:pt>
                  <c:pt idx="3">
                    <c:v>IV  Q</c:v>
                  </c:pt>
                  <c:pt idx="4">
                    <c:v>I  Q</c:v>
                  </c:pt>
                  <c:pt idx="5">
                    <c:v>II  Q</c:v>
                  </c:pt>
                  <c:pt idx="6">
                    <c:v>III  Q</c:v>
                  </c:pt>
                  <c:pt idx="7">
                    <c:v>IV  Q</c:v>
                  </c:pt>
                  <c:pt idx="8">
                    <c:v>I  Q</c:v>
                  </c:pt>
                  <c:pt idx="9">
                    <c:v>II  Q</c:v>
                  </c:pt>
                  <c:pt idx="10">
                    <c:v>III  Q</c:v>
                  </c:pt>
                  <c:pt idx="11">
                    <c:v>IV  Q</c:v>
                  </c:pt>
                  <c:pt idx="12">
                    <c:v>I  Q</c:v>
                  </c:pt>
                  <c:pt idx="13">
                    <c:v>II  Q</c:v>
                  </c:pt>
                  <c:pt idx="14">
                    <c:v>III  Q</c:v>
                  </c:pt>
                  <c:pt idx="15">
                    <c:v>IV  Q</c:v>
                  </c:pt>
                  <c:pt idx="16">
                    <c:v>I  Q</c:v>
                  </c:pt>
                  <c:pt idx="17">
                    <c:v>II  Q</c:v>
                  </c:pt>
                  <c:pt idx="18">
                    <c:v>III  Q</c:v>
                  </c:pt>
                  <c:pt idx="19">
                    <c:v>IV  Q</c:v>
                  </c:pt>
                  <c:pt idx="20">
                    <c:v>I  Q</c:v>
                  </c:pt>
                  <c:pt idx="21">
                    <c:v>II  Q</c:v>
                  </c:pt>
                  <c:pt idx="22">
                    <c:v>III  Q</c:v>
                  </c:pt>
                  <c:pt idx="23">
                    <c:v>IV  Q</c:v>
                  </c:pt>
                </c:lvl>
                <c:lvl>
                  <c:pt idx="0">
                    <c:v>2015</c:v>
                  </c:pt>
                  <c:pt idx="1">
                    <c:v>2015</c:v>
                  </c:pt>
                  <c:pt idx="2">
                    <c:v>2015</c:v>
                  </c:pt>
                  <c:pt idx="3">
                    <c:v>2015</c:v>
                  </c:pt>
                  <c:pt idx="4">
                    <c:v>2016</c:v>
                  </c:pt>
                  <c:pt idx="5">
                    <c:v>2016</c:v>
                  </c:pt>
                  <c:pt idx="6">
                    <c:v>2016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2017</c:v>
                  </c:pt>
                  <c:pt idx="10">
                    <c:v>2017</c:v>
                  </c:pt>
                  <c:pt idx="11">
                    <c:v>2017</c:v>
                  </c:pt>
                  <c:pt idx="12">
                    <c:v>2018</c:v>
                  </c:pt>
                  <c:pt idx="13">
                    <c:v>2018</c:v>
                  </c:pt>
                  <c:pt idx="14">
                    <c:v>2018</c:v>
                  </c:pt>
                  <c:pt idx="15">
                    <c:v>2018</c:v>
                  </c:pt>
                  <c:pt idx="16">
                    <c:v>2019</c:v>
                  </c:pt>
                  <c:pt idx="17">
                    <c:v>2019</c:v>
                  </c:pt>
                  <c:pt idx="18">
                    <c:v>2019</c:v>
                  </c:pt>
                  <c:pt idx="19">
                    <c:v>2019</c:v>
                  </c:pt>
                  <c:pt idx="20">
                    <c:v>2020</c:v>
                  </c:pt>
                  <c:pt idx="21">
                    <c:v>2020</c:v>
                  </c:pt>
                  <c:pt idx="22">
                    <c:v>2020</c:v>
                  </c:pt>
                  <c:pt idx="23">
                    <c:v>2020</c:v>
                  </c:pt>
                </c:lvl>
              </c:multiLvlStrCache>
            </c:multiLvlStrRef>
          </c:cat>
          <c:val>
            <c:numRef>
              <c:f>'graf rev. 15+ '!$B$47:$Y$47</c:f>
              <c:numCache>
                <c:formatCode>0.0</c:formatCode>
                <c:ptCount val="24"/>
                <c:pt idx="0">
                  <c:v>19.002660413213114</c:v>
                </c:pt>
                <c:pt idx="1">
                  <c:v>17.319335715969949</c:v>
                </c:pt>
                <c:pt idx="2">
                  <c:v>16.628357433092823</c:v>
                </c:pt>
                <c:pt idx="3">
                  <c:v>17.692193372096877</c:v>
                </c:pt>
                <c:pt idx="4">
                  <c:v>18.978384465483316</c:v>
                </c:pt>
                <c:pt idx="5">
                  <c:v>15.212580800179435</c:v>
                </c:pt>
                <c:pt idx="6">
                  <c:v>13.790385138839472</c:v>
                </c:pt>
                <c:pt idx="7">
                  <c:v>13.046836126879002</c:v>
                </c:pt>
                <c:pt idx="8">
                  <c:v>14.58357353622238</c:v>
                </c:pt>
                <c:pt idx="9">
                  <c:v>11.762673636740637</c:v>
                </c:pt>
                <c:pt idx="10">
                  <c:v>12.935838021063063</c:v>
                </c:pt>
                <c:pt idx="11">
                  <c:v>14.68160874296696</c:v>
                </c:pt>
                <c:pt idx="12">
                  <c:v>14.847213304601258</c:v>
                </c:pt>
                <c:pt idx="13">
                  <c:v>11.907259916127639</c:v>
                </c:pt>
                <c:pt idx="14">
                  <c:v>11.263740924204384</c:v>
                </c:pt>
                <c:pt idx="15">
                  <c:v>12.881094614898664</c:v>
                </c:pt>
                <c:pt idx="16">
                  <c:v>12.106998978621094</c:v>
                </c:pt>
                <c:pt idx="17">
                  <c:v>10.274345362894232</c:v>
                </c:pt>
                <c:pt idx="18">
                  <c:v>9.4973551817250073</c:v>
                </c:pt>
                <c:pt idx="19">
                  <c:v>9.6566092744798215</c:v>
                </c:pt>
                <c:pt idx="20">
                  <c:v>9.7346587429856335</c:v>
                </c:pt>
                <c:pt idx="21">
                  <c:v>7.2672023527148664</c:v>
                </c:pt>
                <c:pt idx="22">
                  <c:v>9.0454241076268076</c:v>
                </c:pt>
                <c:pt idx="23">
                  <c:v>9.9018043156253714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A0F-4DDC-95CE-E7D455CA337B}"/>
            </c:ext>
          </c:extLst>
        </c:ser>
        <c:ser>
          <c:idx val="3"/>
          <c:order val="3"/>
          <c:tx>
            <c:strRef>
              <c:f>'graf rev. 15+ '!$A$48</c:f>
              <c:strCache>
                <c:ptCount val="1"/>
                <c:pt idx="0">
                  <c:v>стопа незапослености, ревидирана серија (нова методологија)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'graf rev. 15+ '!$B$43:$Y$44</c:f>
              <c:multiLvlStrCache>
                <c:ptCount val="24"/>
                <c:lvl>
                  <c:pt idx="0">
                    <c:v>I  Q</c:v>
                  </c:pt>
                  <c:pt idx="1">
                    <c:v>II  Q</c:v>
                  </c:pt>
                  <c:pt idx="2">
                    <c:v>III  Q</c:v>
                  </c:pt>
                  <c:pt idx="3">
                    <c:v>IV  Q</c:v>
                  </c:pt>
                  <c:pt idx="4">
                    <c:v>I  Q</c:v>
                  </c:pt>
                  <c:pt idx="5">
                    <c:v>II  Q</c:v>
                  </c:pt>
                  <c:pt idx="6">
                    <c:v>III  Q</c:v>
                  </c:pt>
                  <c:pt idx="7">
                    <c:v>IV  Q</c:v>
                  </c:pt>
                  <c:pt idx="8">
                    <c:v>I  Q</c:v>
                  </c:pt>
                  <c:pt idx="9">
                    <c:v>II  Q</c:v>
                  </c:pt>
                  <c:pt idx="10">
                    <c:v>III  Q</c:v>
                  </c:pt>
                  <c:pt idx="11">
                    <c:v>IV  Q</c:v>
                  </c:pt>
                  <c:pt idx="12">
                    <c:v>I  Q</c:v>
                  </c:pt>
                  <c:pt idx="13">
                    <c:v>II  Q</c:v>
                  </c:pt>
                  <c:pt idx="14">
                    <c:v>III  Q</c:v>
                  </c:pt>
                  <c:pt idx="15">
                    <c:v>IV  Q</c:v>
                  </c:pt>
                  <c:pt idx="16">
                    <c:v>I  Q</c:v>
                  </c:pt>
                  <c:pt idx="17">
                    <c:v>II  Q</c:v>
                  </c:pt>
                  <c:pt idx="18">
                    <c:v>III  Q</c:v>
                  </c:pt>
                  <c:pt idx="19">
                    <c:v>IV  Q</c:v>
                  </c:pt>
                  <c:pt idx="20">
                    <c:v>I  Q</c:v>
                  </c:pt>
                  <c:pt idx="21">
                    <c:v>II  Q</c:v>
                  </c:pt>
                  <c:pt idx="22">
                    <c:v>III  Q</c:v>
                  </c:pt>
                  <c:pt idx="23">
                    <c:v>IV  Q</c:v>
                  </c:pt>
                </c:lvl>
                <c:lvl>
                  <c:pt idx="0">
                    <c:v>2015</c:v>
                  </c:pt>
                  <c:pt idx="1">
                    <c:v>2015</c:v>
                  </c:pt>
                  <c:pt idx="2">
                    <c:v>2015</c:v>
                  </c:pt>
                  <c:pt idx="3">
                    <c:v>2015</c:v>
                  </c:pt>
                  <c:pt idx="4">
                    <c:v>2016</c:v>
                  </c:pt>
                  <c:pt idx="5">
                    <c:v>2016</c:v>
                  </c:pt>
                  <c:pt idx="6">
                    <c:v>2016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2017</c:v>
                  </c:pt>
                  <c:pt idx="10">
                    <c:v>2017</c:v>
                  </c:pt>
                  <c:pt idx="11">
                    <c:v>2017</c:v>
                  </c:pt>
                  <c:pt idx="12">
                    <c:v>2018</c:v>
                  </c:pt>
                  <c:pt idx="13">
                    <c:v>2018</c:v>
                  </c:pt>
                  <c:pt idx="14">
                    <c:v>2018</c:v>
                  </c:pt>
                  <c:pt idx="15">
                    <c:v>2018</c:v>
                  </c:pt>
                  <c:pt idx="16">
                    <c:v>2019</c:v>
                  </c:pt>
                  <c:pt idx="17">
                    <c:v>2019</c:v>
                  </c:pt>
                  <c:pt idx="18">
                    <c:v>2019</c:v>
                  </c:pt>
                  <c:pt idx="19">
                    <c:v>2019</c:v>
                  </c:pt>
                  <c:pt idx="20">
                    <c:v>2020</c:v>
                  </c:pt>
                  <c:pt idx="21">
                    <c:v>2020</c:v>
                  </c:pt>
                  <c:pt idx="22">
                    <c:v>2020</c:v>
                  </c:pt>
                  <c:pt idx="23">
                    <c:v>2020</c:v>
                  </c:pt>
                </c:lvl>
              </c:multiLvlStrCache>
            </c:multiLvlStrRef>
          </c:cat>
          <c:val>
            <c:numRef>
              <c:f>'graf rev. 15+ '!$B$48:$Y$48</c:f>
              <c:numCache>
                <c:formatCode>0.0</c:formatCode>
                <c:ptCount val="24"/>
                <c:pt idx="0">
                  <c:v>20.343994725551763</c:v>
                </c:pt>
                <c:pt idx="1">
                  <c:v>18.569089967814797</c:v>
                </c:pt>
                <c:pt idx="2">
                  <c:v>17.839008878615616</c:v>
                </c:pt>
                <c:pt idx="3">
                  <c:v>18.962682169148358</c:v>
                </c:pt>
                <c:pt idx="4">
                  <c:v>20.318435071151956</c:v>
                </c:pt>
                <c:pt idx="5">
                  <c:v>16.340357214853725</c:v>
                </c:pt>
                <c:pt idx="6">
                  <c:v>14.831170506871208</c:v>
                </c:pt>
                <c:pt idx="7">
                  <c:v>14.040644071793826</c:v>
                </c:pt>
                <c:pt idx="8">
                  <c:v>15.673338811461097</c:v>
                </c:pt>
                <c:pt idx="9">
                  <c:v>12.67292028558489</c:v>
                </c:pt>
                <c:pt idx="10">
                  <c:v>13.922544754963814</c:v>
                </c:pt>
                <c:pt idx="11">
                  <c:v>15.777346608229259</c:v>
                </c:pt>
                <c:pt idx="12">
                  <c:v>15.952999768567789</c:v>
                </c:pt>
                <c:pt idx="13">
                  <c:v>12.827068773438398</c:v>
                </c:pt>
                <c:pt idx="14">
                  <c:v>12.140690340524529</c:v>
                </c:pt>
                <c:pt idx="15">
                  <c:v>13.864290628480136</c:v>
                </c:pt>
                <c:pt idx="16">
                  <c:v>13.039953159347583</c:v>
                </c:pt>
                <c:pt idx="17">
                  <c:v>11.083886154919554</c:v>
                </c:pt>
                <c:pt idx="18">
                  <c:v>10.252670545228556</c:v>
                </c:pt>
                <c:pt idx="19">
                  <c:v>10.423131303141021</c:v>
                </c:pt>
                <c:pt idx="20">
                  <c:v>10.506655673179976</c:v>
                </c:pt>
                <c:pt idx="21">
                  <c:v>7.8605605180347693</c:v>
                </c:pt>
                <c:pt idx="22">
                  <c:v>9.7686773045030684</c:v>
                </c:pt>
                <c:pt idx="23">
                  <c:v>10.685487405820595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DA0F-4DDC-95CE-E7D455CA337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425692448"/>
        <c:axId val="1425677888"/>
      </c:lineChart>
      <c:catAx>
        <c:axId val="1425692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25677888"/>
        <c:crosses val="autoZero"/>
        <c:auto val="1"/>
        <c:lblAlgn val="ctr"/>
        <c:lblOffset val="100"/>
        <c:noMultiLvlLbl val="0"/>
      </c:catAx>
      <c:valAx>
        <c:axId val="1425677888"/>
        <c:scaling>
          <c:orientation val="minMax"/>
          <c:min val="5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" sourceLinked="1"/>
        <c:majorTickMark val="out"/>
        <c:minorTickMark val="none"/>
        <c:tickLblPos val="nextTo"/>
        <c:crossAx val="1425692448"/>
        <c:crosses val="autoZero"/>
        <c:crossBetween val="between"/>
        <c:minorUnit val="0.5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88477346214076169"/>
          <c:w val="1"/>
          <c:h val="0.1152265378592381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Smiljkovic</dc:creator>
  <cp:keywords/>
  <dc:description/>
  <cp:lastModifiedBy>Slavica Novakovic</cp:lastModifiedBy>
  <cp:revision>7</cp:revision>
  <dcterms:created xsi:type="dcterms:W3CDTF">2024-05-22T10:37:00Z</dcterms:created>
  <dcterms:modified xsi:type="dcterms:W3CDTF">2024-05-27T20:35:00Z</dcterms:modified>
</cp:coreProperties>
</file>