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2BC09" w14:textId="77777777" w:rsidR="00EF3606" w:rsidRPr="00DE2CBD" w:rsidRDefault="00EF3606" w:rsidP="00681B67">
      <w:pPr>
        <w:spacing w:before="100" w:beforeAutospacing="1" w:after="100" w:afterAutospacing="1" w:line="240" w:lineRule="auto"/>
        <w:jc w:val="both"/>
        <w:rPr>
          <w:rFonts w:ascii="Times New Roman" w:eastAsia="Times New Roman" w:hAnsi="Times New Roman" w:cs="Times New Roman"/>
          <w:b/>
          <w:sz w:val="24"/>
          <w:szCs w:val="24"/>
          <w:lang w:val="sr-Cyrl-RS"/>
        </w:rPr>
      </w:pPr>
    </w:p>
    <w:p w14:paraId="41F157FB" w14:textId="77777777" w:rsidR="00251692" w:rsidRPr="00251692" w:rsidRDefault="00251692" w:rsidP="00681B67">
      <w:pPr>
        <w:spacing w:before="100" w:beforeAutospacing="1" w:after="100" w:afterAutospacing="1" w:line="240" w:lineRule="auto"/>
        <w:jc w:val="both"/>
        <w:rPr>
          <w:rFonts w:ascii="Times New Roman" w:eastAsia="Times New Roman" w:hAnsi="Times New Roman" w:cs="Times New Roman"/>
          <w:b/>
          <w:color w:val="2E74B5" w:themeColor="accent1" w:themeShade="BF"/>
          <w:sz w:val="24"/>
          <w:szCs w:val="24"/>
        </w:rPr>
      </w:pPr>
      <w:r w:rsidRPr="00251692">
        <w:rPr>
          <w:rFonts w:ascii="Times New Roman" w:eastAsia="Times New Roman" w:hAnsi="Times New Roman" w:cs="Times New Roman"/>
          <w:b/>
          <w:color w:val="2E74B5" w:themeColor="accent1" w:themeShade="BF"/>
          <w:sz w:val="24"/>
          <w:szCs w:val="24"/>
        </w:rPr>
        <w:t>Revision of Labor Force Survey data after the introduction of the new methodology in 2021</w:t>
      </w:r>
    </w:p>
    <w:p w14:paraId="0188A389" w14:textId="6CFCECAE"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xml:space="preserve">Starting from 2021, the Statistical Office of the Republic of Serbia (SORS) has switched to a new methodology of the Labour Force Survey (LFS), in accordance with the regulation of the European Parliament. New changes mainly relate to the definitions and the way of specifying certain categories of the population on the </w:t>
      </w:r>
      <w:r w:rsidR="00251692" w:rsidRPr="00251692">
        <w:rPr>
          <w:rFonts w:ascii="Calibri" w:hAnsi="Calibri" w:cs="Calibri"/>
          <w:color w:val="212121"/>
          <w:sz w:val="22"/>
          <w:szCs w:val="22"/>
        </w:rPr>
        <w:t>labour</w:t>
      </w:r>
      <w:r w:rsidRPr="00251692">
        <w:rPr>
          <w:rFonts w:ascii="Calibri" w:hAnsi="Calibri" w:cs="Calibri"/>
          <w:color w:val="212121"/>
          <w:sz w:val="22"/>
          <w:szCs w:val="22"/>
        </w:rPr>
        <w:t xml:space="preserve"> market – the employed persons, the unemployed </w:t>
      </w:r>
      <w:proofErr w:type="gramStart"/>
      <w:r w:rsidRPr="00251692">
        <w:rPr>
          <w:rFonts w:ascii="Calibri" w:hAnsi="Calibri" w:cs="Calibri"/>
          <w:color w:val="212121"/>
          <w:sz w:val="22"/>
          <w:szCs w:val="22"/>
        </w:rPr>
        <w:t>persons</w:t>
      </w:r>
      <w:proofErr w:type="gramEnd"/>
      <w:r w:rsidRPr="00251692">
        <w:rPr>
          <w:rFonts w:ascii="Calibri" w:hAnsi="Calibri" w:cs="Calibri"/>
          <w:color w:val="212121"/>
          <w:sz w:val="22"/>
          <w:szCs w:val="22"/>
        </w:rPr>
        <w:t xml:space="preserve"> and the persons outside the </w:t>
      </w:r>
      <w:r w:rsidR="00251692" w:rsidRPr="00251692">
        <w:rPr>
          <w:rFonts w:ascii="Calibri" w:hAnsi="Calibri" w:cs="Calibri"/>
          <w:color w:val="212121"/>
          <w:sz w:val="22"/>
          <w:szCs w:val="22"/>
        </w:rPr>
        <w:t>labour</w:t>
      </w:r>
      <w:r w:rsidRPr="00251692">
        <w:rPr>
          <w:rFonts w:ascii="Calibri" w:hAnsi="Calibri" w:cs="Calibri"/>
          <w:color w:val="212121"/>
          <w:sz w:val="22"/>
          <w:szCs w:val="22"/>
        </w:rPr>
        <w:t xml:space="preserve"> force - as well as the range and extent of variables dedicated to their additional characteristics. </w:t>
      </w:r>
      <w:proofErr w:type="gramStart"/>
      <w:r w:rsidRPr="00251692">
        <w:rPr>
          <w:rFonts w:ascii="Calibri" w:hAnsi="Calibri" w:cs="Calibri"/>
          <w:color w:val="212121"/>
          <w:sz w:val="22"/>
          <w:szCs w:val="22"/>
        </w:rPr>
        <w:t>In order to</w:t>
      </w:r>
      <w:proofErr w:type="gramEnd"/>
      <w:r w:rsidRPr="00251692">
        <w:rPr>
          <w:rFonts w:ascii="Calibri" w:hAnsi="Calibri" w:cs="Calibri"/>
          <w:color w:val="212121"/>
          <w:sz w:val="22"/>
          <w:szCs w:val="22"/>
        </w:rPr>
        <w:t xml:space="preserve"> ensure the comparability of data after changes in the methodology, a revision of the LFS time series for the period from 2010 to 2020 was </w:t>
      </w:r>
      <w:r w:rsidR="00251692" w:rsidRPr="00251692">
        <w:rPr>
          <w:rFonts w:ascii="Calibri" w:hAnsi="Calibri" w:cs="Calibri"/>
          <w:color w:val="212121"/>
          <w:sz w:val="22"/>
          <w:szCs w:val="22"/>
        </w:rPr>
        <w:t>performed</w:t>
      </w:r>
      <w:r w:rsidRPr="00251692">
        <w:rPr>
          <w:rFonts w:ascii="Calibri" w:hAnsi="Calibri" w:cs="Calibri"/>
          <w:color w:val="212121"/>
          <w:sz w:val="22"/>
          <w:szCs w:val="22"/>
        </w:rPr>
        <w:t>.</w:t>
      </w:r>
    </w:p>
    <w:p w14:paraId="3A64A907"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p>
    <w:p w14:paraId="4E8C8357" w14:textId="011E911C"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xml:space="preserve">In accordance with the </w:t>
      </w:r>
      <w:r w:rsidR="00251692" w:rsidRPr="00251692">
        <w:rPr>
          <w:rFonts w:ascii="Calibri" w:hAnsi="Calibri" w:cs="Calibri"/>
          <w:color w:val="212121"/>
          <w:sz w:val="22"/>
          <w:szCs w:val="22"/>
        </w:rPr>
        <w:t>Eurostat recommendations</w:t>
      </w:r>
      <w:r w:rsidRPr="00251692">
        <w:rPr>
          <w:rFonts w:ascii="Calibri" w:hAnsi="Calibri" w:cs="Calibri"/>
          <w:color w:val="212121"/>
          <w:sz w:val="22"/>
          <w:szCs w:val="22"/>
        </w:rPr>
        <w:t xml:space="preserve"> for providing break free time </w:t>
      </w:r>
      <w:r w:rsidR="00251692" w:rsidRPr="00251692">
        <w:rPr>
          <w:rFonts w:ascii="Calibri" w:hAnsi="Calibri" w:cs="Calibri"/>
          <w:color w:val="212121"/>
          <w:sz w:val="22"/>
          <w:szCs w:val="22"/>
        </w:rPr>
        <w:t>series,</w:t>
      </w:r>
      <w:r w:rsidRPr="00251692">
        <w:rPr>
          <w:rFonts w:ascii="Calibri" w:hAnsi="Calibri" w:cs="Calibri"/>
          <w:color w:val="212121"/>
          <w:sz w:val="22"/>
          <w:szCs w:val="22"/>
        </w:rPr>
        <w:t xml:space="preserve"> for the revision purposes, in 2020 a parallel pilot survey (according to the new methodology, valid from 2021) and a regular survey (according to the old methodology, valid until 2020) were conducted. By comparing the results of the regular and pilot survey, correction factors were obtained for the estimate of the break, caused by changes in methodology. Methodological approach used to calculate the correction factors implies two estimates of the same variable available according to the old and new methodology for several points in time, based on which correction factors are determined as the quotient or difference of value estimate according to the new and old methodology. As the correction factors calculated at different time </w:t>
      </w:r>
      <w:r w:rsidR="00251692" w:rsidRPr="00251692">
        <w:rPr>
          <w:rFonts w:ascii="Calibri" w:hAnsi="Calibri" w:cs="Calibri"/>
          <w:color w:val="212121"/>
          <w:sz w:val="22"/>
          <w:szCs w:val="22"/>
        </w:rPr>
        <w:t>points may</w:t>
      </w:r>
      <w:r w:rsidRPr="00251692">
        <w:rPr>
          <w:rFonts w:ascii="Calibri" w:hAnsi="Calibri" w:cs="Calibri"/>
          <w:color w:val="212121"/>
          <w:sz w:val="22"/>
          <w:szCs w:val="22"/>
        </w:rPr>
        <w:t xml:space="preserve"> be different, correction factors obtained by comparing the results in the fourth quarter of 2020 were used to correct the break, as the most reliable ones. The revision of the LFS time series for the period from 2010 to 2020 was performed by applying these correction factors in the following way:</w:t>
      </w:r>
    </w:p>
    <w:p w14:paraId="7F977785"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w:t>
      </w:r>
    </w:p>
    <w:p w14:paraId="0ED4F9E3"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If the correction factor is calculated as the quotient of value estimates according to the new and old methodology, it is applied as a multiplicative factor, meaning that the revision is performed so that each value in the time series is multiplied by that factor.</w:t>
      </w:r>
    </w:p>
    <w:p w14:paraId="609B9CA0"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p>
    <w:p w14:paraId="1B833988" w14:textId="0119FAE4" w:rsidR="009737EC" w:rsidRPr="00251692" w:rsidRDefault="00251692"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If the</w:t>
      </w:r>
      <w:r w:rsidR="009737EC" w:rsidRPr="00251692">
        <w:rPr>
          <w:rFonts w:ascii="Calibri" w:hAnsi="Calibri" w:cs="Calibri"/>
          <w:color w:val="212121"/>
          <w:sz w:val="22"/>
          <w:szCs w:val="22"/>
        </w:rPr>
        <w:t xml:space="preserve"> correction factor is calculated as the difference between the value estimates according to the new and old methodology, it is applied as an additive factor, meaning that the revision is performed so that each value in the time series is added by that factor.</w:t>
      </w:r>
    </w:p>
    <w:p w14:paraId="0F5D96FC"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p>
    <w:p w14:paraId="1442D580"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xml:space="preserve">After that, </w:t>
      </w:r>
      <w:proofErr w:type="gramStart"/>
      <w:r w:rsidRPr="00251692">
        <w:rPr>
          <w:rFonts w:ascii="Calibri" w:hAnsi="Calibri" w:cs="Calibri"/>
          <w:color w:val="212121"/>
          <w:sz w:val="22"/>
          <w:szCs w:val="22"/>
        </w:rPr>
        <w:t>in order to</w:t>
      </w:r>
      <w:proofErr w:type="gramEnd"/>
      <w:r w:rsidRPr="00251692">
        <w:rPr>
          <w:rFonts w:ascii="Calibri" w:hAnsi="Calibri" w:cs="Calibri"/>
          <w:color w:val="212121"/>
          <w:sz w:val="22"/>
          <w:szCs w:val="22"/>
        </w:rPr>
        <w:t xml:space="preserve"> maintain the multivariate structure of the LFS time series and meet the appropriate linear constraints (e.g. to make the sum of the revised data by gender and / or age groups equal to the revised series of totals), additional correction factors were applied in accordance with Eurostat recommendations given at the workshop dedicated to this topic.</w:t>
      </w:r>
    </w:p>
    <w:p w14:paraId="630540BA"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w:t>
      </w:r>
    </w:p>
    <w:p w14:paraId="5B91065F"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Additionally, the justification for choosing this approach in correcting breaks and the reliability of the obtained results were confirmed by applying correlation analysis to the revised time series of the LFS and data on registered employment from the SORS database.</w:t>
      </w:r>
    </w:p>
    <w:p w14:paraId="65AE4C71"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w:t>
      </w:r>
    </w:p>
    <w:p w14:paraId="6AB77466"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C50334">
        <w:rPr>
          <w:rFonts w:ascii="Calibri" w:hAnsi="Calibri" w:cs="Calibri"/>
          <w:color w:val="212121"/>
          <w:sz w:val="22"/>
          <w:szCs w:val="22"/>
        </w:rPr>
        <w:t>Link of the brochure with detailed explanations is in annex.</w:t>
      </w:r>
    </w:p>
    <w:p w14:paraId="1AF955BB" w14:textId="77777777" w:rsidR="009737EC" w:rsidRPr="00251692"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w:t>
      </w:r>
    </w:p>
    <w:p w14:paraId="35352E07" w14:textId="77777777" w:rsidR="009737EC" w:rsidRDefault="009737EC" w:rsidP="00681B67">
      <w:pPr>
        <w:pStyle w:val="xmsonormal"/>
        <w:shd w:val="clear" w:color="auto" w:fill="FFFFFF"/>
        <w:spacing w:before="0" w:beforeAutospacing="0" w:after="0" w:afterAutospacing="0"/>
        <w:jc w:val="both"/>
        <w:rPr>
          <w:rFonts w:ascii="Calibri" w:hAnsi="Calibri" w:cs="Calibri"/>
          <w:color w:val="212121"/>
          <w:sz w:val="22"/>
          <w:szCs w:val="22"/>
        </w:rPr>
      </w:pPr>
      <w:r w:rsidRPr="00251692">
        <w:rPr>
          <w:rFonts w:ascii="Calibri" w:hAnsi="Calibri" w:cs="Calibri"/>
          <w:color w:val="212121"/>
          <w:sz w:val="22"/>
          <w:szCs w:val="22"/>
        </w:rPr>
        <w:t> </w:t>
      </w:r>
    </w:p>
    <w:p w14:paraId="2A646831" w14:textId="77777777" w:rsidR="00681B67" w:rsidRDefault="00681B67" w:rsidP="00681B67">
      <w:pPr>
        <w:pStyle w:val="xmsonormal"/>
        <w:shd w:val="clear" w:color="auto" w:fill="FFFFFF"/>
        <w:spacing w:before="0" w:beforeAutospacing="0" w:after="0" w:afterAutospacing="0"/>
        <w:jc w:val="both"/>
        <w:rPr>
          <w:rFonts w:ascii="Calibri" w:hAnsi="Calibri" w:cs="Calibri"/>
          <w:color w:val="212121"/>
          <w:sz w:val="22"/>
          <w:szCs w:val="22"/>
        </w:rPr>
      </w:pPr>
    </w:p>
    <w:p w14:paraId="6F0640C9" w14:textId="77777777" w:rsidR="00681B67" w:rsidRPr="00251692" w:rsidRDefault="00681B67" w:rsidP="00681B67">
      <w:pPr>
        <w:pStyle w:val="xmsonormal"/>
        <w:shd w:val="clear" w:color="auto" w:fill="FFFFFF"/>
        <w:spacing w:before="0" w:beforeAutospacing="0" w:after="0" w:afterAutospacing="0"/>
        <w:jc w:val="both"/>
        <w:rPr>
          <w:rFonts w:ascii="Calibri" w:hAnsi="Calibri" w:cs="Calibri"/>
          <w:color w:val="212121"/>
          <w:sz w:val="22"/>
          <w:szCs w:val="22"/>
        </w:rPr>
      </w:pPr>
    </w:p>
    <w:p w14:paraId="6DC37910" w14:textId="4D81A227" w:rsidR="009737EC" w:rsidRPr="00251692" w:rsidRDefault="009737EC" w:rsidP="00681B67">
      <w:pPr>
        <w:spacing w:before="100" w:beforeAutospacing="1" w:after="100" w:afterAutospacing="1" w:line="240" w:lineRule="auto"/>
        <w:jc w:val="both"/>
        <w:rPr>
          <w:rFonts w:ascii="Times New Roman" w:eastAsia="Times New Roman" w:hAnsi="Times New Roman" w:cs="Times New Roman"/>
          <w:b/>
        </w:rPr>
      </w:pPr>
      <w:r w:rsidRPr="00251692">
        <w:rPr>
          <w:rFonts w:ascii="Times New Roman" w:eastAsia="Times New Roman" w:hAnsi="Times New Roman" w:cs="Times New Roman"/>
          <w:b/>
        </w:rPr>
        <w:lastRenderedPageBreak/>
        <w:t>Chart: Comparative overview of the employment and unemployment rates of the original series (old methodology) and the revised series (new methodology)</w:t>
      </w:r>
    </w:p>
    <w:p w14:paraId="7630FDF2" w14:textId="57296B2C" w:rsidR="00EF3606" w:rsidRPr="00251692" w:rsidRDefault="003554C8" w:rsidP="00681B67">
      <w:pPr>
        <w:spacing w:before="100" w:beforeAutospacing="1" w:after="100" w:afterAutospacing="1" w:line="240" w:lineRule="auto"/>
        <w:jc w:val="both"/>
        <w:rPr>
          <w:rFonts w:ascii="Times New Roman" w:eastAsia="Times New Roman" w:hAnsi="Times New Roman" w:cs="Times New Roman"/>
        </w:rPr>
      </w:pPr>
      <w:r>
        <w:rPr>
          <w:noProof/>
        </w:rPr>
        <w:drawing>
          <wp:inline distT="0" distB="0" distL="0" distR="0" wp14:anchorId="09DC7CCD" wp14:editId="19EEA1CA">
            <wp:extent cx="5943600" cy="5470525"/>
            <wp:effectExtent l="0" t="0" r="0" b="0"/>
            <wp:docPr id="672425943"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425943" name="Picture 1" descr="A graph with numbers and line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5470525"/>
                    </a:xfrm>
                    <a:prstGeom prst="rect">
                      <a:avLst/>
                    </a:prstGeom>
                    <a:noFill/>
                    <a:ln>
                      <a:noFill/>
                    </a:ln>
                  </pic:spPr>
                </pic:pic>
              </a:graphicData>
            </a:graphic>
          </wp:inline>
        </w:drawing>
      </w:r>
    </w:p>
    <w:sectPr w:rsidR="00EF3606" w:rsidRPr="002516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70F4C"/>
    <w:multiLevelType w:val="multilevel"/>
    <w:tmpl w:val="0DCEF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9C166B"/>
    <w:multiLevelType w:val="multilevel"/>
    <w:tmpl w:val="6FFE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246674">
    <w:abstractNumId w:val="1"/>
  </w:num>
  <w:num w:numId="2" w16cid:durableId="1809739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4C9"/>
    <w:rsid w:val="000A76CA"/>
    <w:rsid w:val="00223500"/>
    <w:rsid w:val="00251692"/>
    <w:rsid w:val="00292CA9"/>
    <w:rsid w:val="002A74C9"/>
    <w:rsid w:val="003554C8"/>
    <w:rsid w:val="005D294A"/>
    <w:rsid w:val="00681B67"/>
    <w:rsid w:val="00822C34"/>
    <w:rsid w:val="0086056F"/>
    <w:rsid w:val="009737EC"/>
    <w:rsid w:val="00A90153"/>
    <w:rsid w:val="00B931E6"/>
    <w:rsid w:val="00C50334"/>
    <w:rsid w:val="00D83844"/>
    <w:rsid w:val="00DE2CBD"/>
    <w:rsid w:val="00EF3606"/>
    <w:rsid w:val="00F06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C4017"/>
  <w15:chartTrackingRefBased/>
  <w15:docId w15:val="{C04B0629-2D80-46D2-B01E-172279CB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4C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737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8461">
      <w:bodyDiv w:val="1"/>
      <w:marLeft w:val="0"/>
      <w:marRight w:val="0"/>
      <w:marTop w:val="0"/>
      <w:marBottom w:val="0"/>
      <w:divBdr>
        <w:top w:val="none" w:sz="0" w:space="0" w:color="auto"/>
        <w:left w:val="none" w:sz="0" w:space="0" w:color="auto"/>
        <w:bottom w:val="none" w:sz="0" w:space="0" w:color="auto"/>
        <w:right w:val="none" w:sz="0" w:space="0" w:color="auto"/>
      </w:divBdr>
    </w:div>
    <w:div w:id="11189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Milijana Smiljkovic</dc:creator>
  <cp:keywords/>
  <dc:description/>
  <cp:lastModifiedBy>Mirjana Novakovic</cp:lastModifiedBy>
  <cp:revision>8</cp:revision>
  <dcterms:created xsi:type="dcterms:W3CDTF">2024-05-27T06:54:00Z</dcterms:created>
  <dcterms:modified xsi:type="dcterms:W3CDTF">2024-06-11T12:05:00Z</dcterms:modified>
</cp:coreProperties>
</file>